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4A7" w:rsidRPr="00AD7749" w:rsidRDefault="007254A7">
      <w:pPr>
        <w:rPr>
          <w:b/>
          <w:szCs w:val="20"/>
        </w:rPr>
      </w:pPr>
    </w:p>
    <w:p w:rsidR="00E271BD" w:rsidRPr="00C35DE1" w:rsidRDefault="00CD3CB4" w:rsidP="00E271BD">
      <w:pPr>
        <w:pStyle w:val="AHPRAHeadline"/>
      </w:pPr>
      <w:bookmarkStart w:id="0" w:name="_Toc308775174"/>
      <w:r>
        <w:t>Application g</w:t>
      </w:r>
      <w:r w:rsidR="00E271BD">
        <w:t xml:space="preserve">uide </w:t>
      </w:r>
    </w:p>
    <w:p w:rsidR="00E271BD" w:rsidRDefault="00B1072D" w:rsidP="00E271BD">
      <w:pPr>
        <w:pStyle w:val="AHPRAHeadline"/>
        <w:spacing w:before="240"/>
        <w:outlineLvl w:val="0"/>
        <w:rPr>
          <w:color w:val="auto"/>
          <w:sz w:val="20"/>
          <w:szCs w:val="20"/>
        </w:rPr>
      </w:pPr>
      <w:r>
        <w:rPr>
          <w:rFonts w:cs="Arial"/>
          <w:noProof/>
          <w:color w:val="60605B"/>
          <w:sz w:val="32"/>
          <w:szCs w:val="32"/>
          <w:lang w:val="en-AU" w:eastAsia="en-A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2" type="#_x0000_t32" style="position:absolute;margin-left:-74.25pt;margin-top:.4pt;width:264pt;height:0;z-index:251657728" o:connectortype="straight"/>
        </w:pict>
      </w:r>
    </w:p>
    <w:bookmarkEnd w:id="0"/>
    <w:p w:rsidR="00E271BD" w:rsidRPr="00C35DE1" w:rsidRDefault="002573EC" w:rsidP="00E271BD">
      <w:pPr>
        <w:pStyle w:val="AHPRAHeadline"/>
        <w:spacing w:before="240"/>
        <w:outlineLvl w:val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August</w:t>
      </w:r>
      <w:r w:rsidR="00535524">
        <w:rPr>
          <w:color w:val="auto"/>
          <w:sz w:val="20"/>
          <w:szCs w:val="20"/>
        </w:rPr>
        <w:t xml:space="preserve"> 2015</w:t>
      </w:r>
      <w:bookmarkStart w:id="1" w:name="_GoBack"/>
      <w:bookmarkEnd w:id="1"/>
    </w:p>
    <w:p w:rsidR="00F644F2" w:rsidRDefault="00987DAC" w:rsidP="002573EC">
      <w:pPr>
        <w:pStyle w:val="AHPRAHeadline"/>
        <w:spacing w:after="0"/>
        <w:rPr>
          <w:rFonts w:cs="Arial"/>
          <w:color w:val="5F6062"/>
          <w:szCs w:val="52"/>
          <w:lang w:val="en-AU"/>
        </w:rPr>
      </w:pPr>
      <w:r>
        <w:rPr>
          <w:color w:val="60605B"/>
        </w:rPr>
        <w:t>Notifications C</w:t>
      </w:r>
      <w:r w:rsidR="00F644F2" w:rsidRPr="00346BD1">
        <w:rPr>
          <w:color w:val="60605B"/>
        </w:rPr>
        <w:t>ommittee</w:t>
      </w:r>
      <w:r w:rsidR="00CD3CB4">
        <w:rPr>
          <w:rFonts w:cs="Arial"/>
          <w:color w:val="5F6062"/>
          <w:szCs w:val="52"/>
          <w:lang w:val="en-AU"/>
        </w:rPr>
        <w:t xml:space="preserve"> of the Pharmacy Board of Australia</w:t>
      </w:r>
    </w:p>
    <w:p w:rsidR="00E271BD" w:rsidRDefault="00E271BD" w:rsidP="00E271BD">
      <w:pPr>
        <w:pStyle w:val="AHPRASubheading"/>
        <w:rPr>
          <w:szCs w:val="20"/>
        </w:rPr>
      </w:pPr>
      <w:r>
        <w:t>Guide</w:t>
      </w:r>
      <w:r w:rsidRPr="00600BE4">
        <w:t xml:space="preserve"> for </w:t>
      </w:r>
      <w:r w:rsidR="00F644F2">
        <w:t>applicants</w:t>
      </w:r>
    </w:p>
    <w:p w:rsidR="00E271BD" w:rsidRPr="006369D9" w:rsidRDefault="00E271BD" w:rsidP="00E271BD">
      <w:pPr>
        <w:pStyle w:val="AHPRAbody"/>
        <w:rPr>
          <w:szCs w:val="20"/>
        </w:rPr>
      </w:pPr>
      <w:r w:rsidRPr="006369D9">
        <w:rPr>
          <w:szCs w:val="20"/>
        </w:rPr>
        <w:t>This information package includes:</w:t>
      </w:r>
    </w:p>
    <w:p w:rsidR="00E271BD" w:rsidRPr="006369D9" w:rsidRDefault="00F644F2" w:rsidP="00E271BD">
      <w:pPr>
        <w:pStyle w:val="AHPRABulletlevel1"/>
      </w:pPr>
      <w:r>
        <w:t xml:space="preserve">information about the </w:t>
      </w:r>
      <w:r w:rsidR="00CD3CB4">
        <w:t>Notifications Committee, established</w:t>
      </w:r>
      <w:r>
        <w:t xml:space="preserve"> </w:t>
      </w:r>
      <w:r w:rsidR="0038207B">
        <w:t xml:space="preserve">by the Pharmacy Board of Australia </w:t>
      </w:r>
      <w:r w:rsidR="00E271BD" w:rsidRPr="006369D9">
        <w:t>under the Health Practitioner Regulation National Law (the National Law), as in force in each state and territory,</w:t>
      </w:r>
    </w:p>
    <w:p w:rsidR="00E271BD" w:rsidRPr="006369D9" w:rsidRDefault="00E271BD" w:rsidP="00E271BD">
      <w:pPr>
        <w:pStyle w:val="AHPRABulletlevel1"/>
      </w:pPr>
      <w:r w:rsidRPr="006369D9">
        <w:t>selection criteria,</w:t>
      </w:r>
    </w:p>
    <w:p w:rsidR="00E271BD" w:rsidRPr="006369D9" w:rsidRDefault="00E271BD" w:rsidP="00E271BD">
      <w:pPr>
        <w:pStyle w:val="AHPRABulletlevel1"/>
      </w:pPr>
      <w:r w:rsidRPr="006369D9">
        <w:t>selection process,</w:t>
      </w:r>
    </w:p>
    <w:p w:rsidR="00E271BD" w:rsidRPr="006369D9" w:rsidRDefault="00E271BD" w:rsidP="00E271BD">
      <w:pPr>
        <w:pStyle w:val="AHPRABulletlevel1"/>
      </w:pPr>
      <w:r w:rsidRPr="006369D9">
        <w:t>sitting fees and remuneration information, if application is successful, and</w:t>
      </w:r>
    </w:p>
    <w:p w:rsidR="00E271BD" w:rsidRPr="006369D9" w:rsidRDefault="00E271BD" w:rsidP="00E271BD">
      <w:pPr>
        <w:pStyle w:val="AHPRABulletlevel1"/>
      </w:pPr>
      <w:r w:rsidRPr="006369D9">
        <w:t>relevant sections of the National Law.</w:t>
      </w:r>
    </w:p>
    <w:p w:rsidR="00E271BD" w:rsidRPr="006369D9" w:rsidRDefault="00E271BD" w:rsidP="00E271BD">
      <w:pPr>
        <w:pStyle w:val="AHPRAbody"/>
        <w:rPr>
          <w:rFonts w:eastAsia="Calibri"/>
          <w:szCs w:val="20"/>
        </w:rPr>
      </w:pPr>
    </w:p>
    <w:p w:rsidR="00F644F2" w:rsidRPr="006369D9" w:rsidRDefault="00F644F2" w:rsidP="00F644F2">
      <w:pPr>
        <w:pStyle w:val="AHPRAbody"/>
        <w:rPr>
          <w:szCs w:val="20"/>
        </w:rPr>
      </w:pPr>
      <w:r w:rsidRPr="006369D9">
        <w:rPr>
          <w:szCs w:val="20"/>
        </w:rPr>
        <w:t xml:space="preserve">Please also refer to the </w:t>
      </w:r>
      <w:r>
        <w:rPr>
          <w:szCs w:val="20"/>
        </w:rPr>
        <w:t>application documents</w:t>
      </w:r>
      <w:r w:rsidRPr="006369D9">
        <w:rPr>
          <w:szCs w:val="20"/>
        </w:rPr>
        <w:t xml:space="preserve">: </w:t>
      </w:r>
    </w:p>
    <w:p w:rsidR="00F644F2" w:rsidRPr="006369D9" w:rsidRDefault="00F644F2" w:rsidP="00F644F2">
      <w:pPr>
        <w:pStyle w:val="AHPRABulletlevel1"/>
      </w:pPr>
      <w:r w:rsidRPr="006369D9">
        <w:t>application form with declarations</w:t>
      </w:r>
    </w:p>
    <w:p w:rsidR="00F644F2" w:rsidRDefault="00F644F2" w:rsidP="00F644F2">
      <w:pPr>
        <w:pStyle w:val="AHPRABulletlevel1"/>
      </w:pPr>
      <w:r>
        <w:t>n</w:t>
      </w:r>
      <w:r w:rsidRPr="006369D9">
        <w:t xml:space="preserve">ational </w:t>
      </w:r>
      <w:r>
        <w:t>cr</w:t>
      </w:r>
      <w:r w:rsidRPr="006369D9">
        <w:t xml:space="preserve">iminal </w:t>
      </w:r>
      <w:r>
        <w:t>h</w:t>
      </w:r>
      <w:r w:rsidRPr="006369D9">
        <w:t xml:space="preserve">istory </w:t>
      </w:r>
      <w:r>
        <w:t>check</w:t>
      </w:r>
      <w:r w:rsidRPr="006369D9">
        <w:t xml:space="preserve"> </w:t>
      </w:r>
      <w:r>
        <w:t>consent form, and</w:t>
      </w:r>
    </w:p>
    <w:p w:rsidR="00F644F2" w:rsidRPr="00F17EFA" w:rsidRDefault="00F644F2" w:rsidP="00F644F2">
      <w:pPr>
        <w:pStyle w:val="AHPRABulletlevel1"/>
      </w:pPr>
      <w:r>
        <w:t>declaration of private interests form.</w:t>
      </w:r>
    </w:p>
    <w:p w:rsidR="00705847" w:rsidRPr="00AD7749" w:rsidRDefault="00705847">
      <w:pPr>
        <w:rPr>
          <w:b/>
          <w:szCs w:val="20"/>
        </w:rPr>
      </w:pPr>
    </w:p>
    <w:p w:rsidR="00705847" w:rsidRPr="00AD7749" w:rsidRDefault="00705847">
      <w:pPr>
        <w:rPr>
          <w:b/>
          <w:szCs w:val="20"/>
        </w:rPr>
      </w:pPr>
    </w:p>
    <w:p w:rsidR="00705847" w:rsidRPr="00AD7749" w:rsidRDefault="00705847">
      <w:pPr>
        <w:rPr>
          <w:b/>
          <w:szCs w:val="20"/>
        </w:rPr>
      </w:pPr>
    </w:p>
    <w:p w:rsidR="00705847" w:rsidRPr="00AD7749" w:rsidRDefault="00705847">
      <w:pPr>
        <w:rPr>
          <w:b/>
          <w:szCs w:val="20"/>
        </w:rPr>
      </w:pPr>
    </w:p>
    <w:p w:rsidR="00705847" w:rsidRPr="00AD7749" w:rsidRDefault="009311B0" w:rsidP="00AF3C77">
      <w:pPr>
        <w:pStyle w:val="AHPRADocumentsubheading"/>
        <w:rPr>
          <w:szCs w:val="20"/>
        </w:rPr>
      </w:pPr>
      <w:bookmarkStart w:id="2" w:name="_Toc308775175"/>
      <w:r>
        <w:br w:type="page"/>
      </w:r>
      <w:r w:rsidR="00705847" w:rsidRPr="007254A7">
        <w:lastRenderedPageBreak/>
        <w:t>Information for potential candidates</w:t>
      </w:r>
      <w:bookmarkEnd w:id="2"/>
    </w:p>
    <w:p w:rsidR="00EE1910" w:rsidRPr="007254A7" w:rsidRDefault="00EE1910" w:rsidP="00A079B0">
      <w:pPr>
        <w:pStyle w:val="AHPRASubheading"/>
      </w:pPr>
      <w:r w:rsidRPr="007254A7">
        <w:t>Introduction</w:t>
      </w:r>
    </w:p>
    <w:p w:rsidR="00987DAC" w:rsidRDefault="00086F85" w:rsidP="002573EC">
      <w:pPr>
        <w:pStyle w:val="AHPRAbody"/>
      </w:pPr>
      <w:r w:rsidRPr="00540AA9">
        <w:rPr>
          <w:szCs w:val="20"/>
        </w:rPr>
        <w:t xml:space="preserve">The </w:t>
      </w:r>
      <w:r w:rsidR="002573EC">
        <w:rPr>
          <w:szCs w:val="20"/>
        </w:rPr>
        <w:t>Pharmacy</w:t>
      </w:r>
      <w:r w:rsidRPr="00540AA9">
        <w:rPr>
          <w:szCs w:val="20"/>
        </w:rPr>
        <w:t xml:space="preserve"> Board of Australia (the Board)</w:t>
      </w:r>
      <w:r>
        <w:rPr>
          <w:szCs w:val="20"/>
        </w:rPr>
        <w:t xml:space="preserve"> seeks</w:t>
      </w:r>
      <w:r w:rsidRPr="00540AA9">
        <w:rPr>
          <w:szCs w:val="20"/>
        </w:rPr>
        <w:t xml:space="preserve"> </w:t>
      </w:r>
      <w:r>
        <w:rPr>
          <w:szCs w:val="20"/>
        </w:rPr>
        <w:t>expressions of interest from</w:t>
      </w:r>
      <w:r w:rsidR="00D66BCA" w:rsidRPr="00D66BCA">
        <w:t xml:space="preserve"> </w:t>
      </w:r>
      <w:r w:rsidR="00C548C3">
        <w:rPr>
          <w:szCs w:val="20"/>
        </w:rPr>
        <w:t>pharmacists holding general registration</w:t>
      </w:r>
      <w:r w:rsidR="00D66BCA">
        <w:t xml:space="preserve"> </w:t>
      </w:r>
      <w:r w:rsidR="002573EC">
        <w:t xml:space="preserve">for </w:t>
      </w:r>
      <w:r w:rsidR="00C548C3">
        <w:t>appointment to its</w:t>
      </w:r>
      <w:r w:rsidRPr="00540AA9">
        <w:t xml:space="preserve"> </w:t>
      </w:r>
      <w:r w:rsidR="00471F32">
        <w:t>Notifications Committee</w:t>
      </w:r>
      <w:r w:rsidRPr="00540AA9">
        <w:t xml:space="preserve"> to assist the Board in its primary role of protecting the public.</w:t>
      </w:r>
    </w:p>
    <w:p w:rsidR="002864AD" w:rsidRDefault="002864AD" w:rsidP="002573EC">
      <w:pPr>
        <w:pStyle w:val="AHPRAbody"/>
      </w:pPr>
      <w:r w:rsidRPr="00F37615">
        <w:t xml:space="preserve">Expressions of interest are sought from pharmacists </w:t>
      </w:r>
      <w:r w:rsidR="00065796" w:rsidRPr="00F37615">
        <w:t xml:space="preserve">in all jurisdictions </w:t>
      </w:r>
      <w:r w:rsidR="00065796" w:rsidRPr="00F37615">
        <w:rPr>
          <w:b/>
        </w:rPr>
        <w:t>excluding New South Wales</w:t>
      </w:r>
      <w:r w:rsidR="00065796" w:rsidRPr="00F37615">
        <w:t xml:space="preserve"> </w:t>
      </w:r>
      <w:r w:rsidR="005E04DB" w:rsidRPr="00F37615">
        <w:t>(due to co-regulatory arrangements for managing notifications).</w:t>
      </w:r>
    </w:p>
    <w:p w:rsidR="00086F85" w:rsidRPr="00AD7749" w:rsidRDefault="00086F85" w:rsidP="00086F85">
      <w:pPr>
        <w:pStyle w:val="AHPRASubheadinglevel2"/>
      </w:pPr>
      <w:r w:rsidRPr="00AD7749">
        <w:t>AHPRA</w:t>
      </w:r>
    </w:p>
    <w:p w:rsidR="00086F85" w:rsidRPr="00AD7749" w:rsidRDefault="00086F85" w:rsidP="00086F85">
      <w:pPr>
        <w:pStyle w:val="AHPRAbody"/>
      </w:pPr>
      <w:r>
        <w:t>AHPRA</w:t>
      </w:r>
      <w:r w:rsidRPr="00AD7749">
        <w:t xml:space="preserve"> supports the National Boards in managing the registration and notifications for health practitioners and students across Australia.</w:t>
      </w:r>
    </w:p>
    <w:p w:rsidR="00086F85" w:rsidRPr="00AD7749" w:rsidRDefault="00086F85" w:rsidP="00086F85">
      <w:pPr>
        <w:pStyle w:val="AHPRAbody"/>
      </w:pPr>
      <w:r w:rsidRPr="00AD7749">
        <w:t xml:space="preserve">AHPRA has a </w:t>
      </w:r>
      <w:r>
        <w:t>n</w:t>
      </w:r>
      <w:r w:rsidRPr="00AD7749">
        <w:t xml:space="preserve">ational office based in Melbourne and offices in every </w:t>
      </w:r>
      <w:r>
        <w:t>s</w:t>
      </w:r>
      <w:r w:rsidRPr="00AD7749">
        <w:t xml:space="preserve">tate and </w:t>
      </w:r>
      <w:r>
        <w:t>t</w:t>
      </w:r>
      <w:r w:rsidRPr="00AD7749">
        <w:t>erritory to support local boards and committees.</w:t>
      </w:r>
    </w:p>
    <w:p w:rsidR="00086F85" w:rsidRPr="007254A7" w:rsidRDefault="00086F85" w:rsidP="00086F85">
      <w:pPr>
        <w:pStyle w:val="AHPRASubheadinglevel2"/>
      </w:pPr>
      <w:r w:rsidRPr="007254A7">
        <w:t>National Boards</w:t>
      </w:r>
    </w:p>
    <w:p w:rsidR="00086F85" w:rsidRPr="00AD7749" w:rsidRDefault="00086F85" w:rsidP="00086F85">
      <w:pPr>
        <w:pStyle w:val="AHPRAbody"/>
        <w:spacing w:after="0"/>
      </w:pPr>
      <w:r w:rsidRPr="00AD7749">
        <w:t xml:space="preserve">The following </w:t>
      </w:r>
      <w:r>
        <w:t>14</w:t>
      </w:r>
      <w:r w:rsidRPr="00AD7749">
        <w:t xml:space="preserve"> National Boards regulate the corresponding health professions under the </w:t>
      </w:r>
      <w:r w:rsidR="00862AD4">
        <w:rPr>
          <w:szCs w:val="20"/>
        </w:rPr>
        <w:t xml:space="preserve">Health Practitioner Regulation </w:t>
      </w:r>
      <w:r w:rsidRPr="00AD7749">
        <w:t>National Law:</w:t>
      </w:r>
    </w:p>
    <w:p w:rsidR="00086F85" w:rsidRDefault="00086F85" w:rsidP="00086F85">
      <w:pPr>
        <w:pStyle w:val="AHPRABulletlevel1"/>
      </w:pPr>
      <w:r w:rsidRPr="00283D24">
        <w:t>Aboriginal and Torres Strait Islander Health Practice Board of Australia</w:t>
      </w:r>
      <w:r w:rsidRPr="00AD7749">
        <w:t xml:space="preserve"> </w:t>
      </w:r>
    </w:p>
    <w:p w:rsidR="00086F85" w:rsidRDefault="00086F85" w:rsidP="00086F85">
      <w:pPr>
        <w:pStyle w:val="AHPRABulletlevel1"/>
      </w:pPr>
      <w:r w:rsidRPr="00283D24">
        <w:t>Chinese Medicine Board of Australia</w:t>
      </w:r>
      <w:r w:rsidRPr="00AD7749">
        <w:t xml:space="preserve"> </w:t>
      </w:r>
    </w:p>
    <w:p w:rsidR="00086F85" w:rsidRDefault="00471F32" w:rsidP="00086F85">
      <w:pPr>
        <w:pStyle w:val="AHPRABulletlevel1"/>
      </w:pPr>
      <w:r>
        <w:t>Chiropractic</w:t>
      </w:r>
      <w:r w:rsidR="00086F85">
        <w:t xml:space="preserve"> </w:t>
      </w:r>
      <w:r w:rsidR="00086F85" w:rsidRPr="00AD7749">
        <w:t>Board of Australia</w:t>
      </w:r>
      <w:r w:rsidR="00086F85">
        <w:t xml:space="preserve"> </w:t>
      </w:r>
    </w:p>
    <w:p w:rsidR="00086F85" w:rsidRPr="00190951" w:rsidRDefault="00086F85" w:rsidP="00086F85">
      <w:pPr>
        <w:pStyle w:val="AHPRABulletlevel1"/>
      </w:pPr>
      <w:r w:rsidRPr="00190951">
        <w:t>Dental Board of Australia</w:t>
      </w:r>
    </w:p>
    <w:p w:rsidR="00086F85" w:rsidRPr="00190951" w:rsidRDefault="00086F85" w:rsidP="00086F85">
      <w:pPr>
        <w:pStyle w:val="AHPRABulletlevel1"/>
      </w:pPr>
      <w:r w:rsidRPr="00190951">
        <w:t>Medical Board of Australia</w:t>
      </w:r>
    </w:p>
    <w:p w:rsidR="00086F85" w:rsidRPr="00283D24" w:rsidRDefault="00086F85" w:rsidP="00086F85">
      <w:pPr>
        <w:pStyle w:val="AHPRABulletlevel1"/>
      </w:pPr>
      <w:r>
        <w:t>Medical Radiation Practice Board of Australia</w:t>
      </w:r>
    </w:p>
    <w:p w:rsidR="00086F85" w:rsidRPr="00AD7749" w:rsidRDefault="00086F85" w:rsidP="00086F85">
      <w:pPr>
        <w:pStyle w:val="AHPRABulletlevel1"/>
      </w:pPr>
      <w:r w:rsidRPr="00AD7749">
        <w:t>Nursing and Midwifery Board of Australia</w:t>
      </w:r>
    </w:p>
    <w:p w:rsidR="00086F85" w:rsidRDefault="00086F85" w:rsidP="00086F85">
      <w:pPr>
        <w:pStyle w:val="AHPRABulletlevel1"/>
      </w:pPr>
      <w:r w:rsidRPr="00283D24">
        <w:t>Occupational Therapy Board of Australia</w:t>
      </w:r>
      <w:r w:rsidRPr="00AD7749">
        <w:t xml:space="preserve"> </w:t>
      </w:r>
    </w:p>
    <w:p w:rsidR="00086F85" w:rsidRPr="00AD7749" w:rsidRDefault="00086F85" w:rsidP="00086F85">
      <w:pPr>
        <w:pStyle w:val="AHPRABulletlevel1"/>
      </w:pPr>
      <w:r w:rsidRPr="00AD7749">
        <w:t>Optometry Board of Australia</w:t>
      </w:r>
    </w:p>
    <w:p w:rsidR="00086F85" w:rsidRPr="00AD7749" w:rsidRDefault="00086F85" w:rsidP="00086F85">
      <w:pPr>
        <w:pStyle w:val="AHPRABulletlevel1"/>
      </w:pPr>
      <w:r w:rsidRPr="00AD7749">
        <w:t>Osteopathy Board of Australia</w:t>
      </w:r>
    </w:p>
    <w:p w:rsidR="00086F85" w:rsidRPr="00AD7749" w:rsidRDefault="00086F85" w:rsidP="00086F85">
      <w:pPr>
        <w:pStyle w:val="AHPRABulletlevel1"/>
      </w:pPr>
      <w:r>
        <w:t xml:space="preserve">Pharmacy </w:t>
      </w:r>
      <w:r w:rsidRPr="00AD7749">
        <w:t>Board of Australia</w:t>
      </w:r>
    </w:p>
    <w:p w:rsidR="00086F85" w:rsidRPr="00AD7749" w:rsidRDefault="00086F85" w:rsidP="00086F85">
      <w:pPr>
        <w:pStyle w:val="AHPRABulletlevel1"/>
      </w:pPr>
      <w:r w:rsidRPr="00AD7749">
        <w:t>Physiotherapy Board of Australia</w:t>
      </w:r>
    </w:p>
    <w:p w:rsidR="00086F85" w:rsidRPr="00AD7749" w:rsidRDefault="00086F85" w:rsidP="00086F85">
      <w:pPr>
        <w:pStyle w:val="AHPRABulletlevel1"/>
      </w:pPr>
      <w:r w:rsidRPr="00AD7749">
        <w:t>Podiatry Board of Australia</w:t>
      </w:r>
    </w:p>
    <w:p w:rsidR="00086F85" w:rsidRDefault="00086F85" w:rsidP="00086F85">
      <w:pPr>
        <w:pStyle w:val="AHPRABulletlevel1"/>
      </w:pPr>
      <w:r w:rsidRPr="00AD7749">
        <w:t>Psychology Board of Australia</w:t>
      </w:r>
    </w:p>
    <w:p w:rsidR="00086F85" w:rsidRDefault="00471F32" w:rsidP="007838A4">
      <w:pPr>
        <w:pStyle w:val="AHPRASubheading"/>
      </w:pPr>
      <w:r>
        <w:t>Notifications Committee</w:t>
      </w:r>
    </w:p>
    <w:p w:rsidR="00B1173F" w:rsidRDefault="00B1173F" w:rsidP="00B1173F">
      <w:pPr>
        <w:pStyle w:val="AHPRAbody"/>
      </w:pPr>
      <w:r w:rsidRPr="0027717D">
        <w:t xml:space="preserve">The </w:t>
      </w:r>
      <w:r>
        <w:t>Notification</w:t>
      </w:r>
      <w:r w:rsidR="00C548C3">
        <w:t>s</w:t>
      </w:r>
      <w:r>
        <w:t xml:space="preserve"> Committee (the Committee</w:t>
      </w:r>
      <w:r w:rsidRPr="0027717D">
        <w:t>) is established by the Board pursuant to Schedule 4, clause 11 of the Health Practitioner Regulation National Law</w:t>
      </w:r>
      <w:r w:rsidR="00C548C3">
        <w:t xml:space="preserve">, </w:t>
      </w:r>
      <w:r w:rsidRPr="0027717D">
        <w:t xml:space="preserve">as in force in each state and territory (the National Law) to exercise any functions or powers delegated to the </w:t>
      </w:r>
      <w:r w:rsidR="006A783B">
        <w:t>Committee</w:t>
      </w:r>
      <w:r w:rsidR="006A783B" w:rsidRPr="0027717D">
        <w:t xml:space="preserve"> </w:t>
      </w:r>
      <w:r w:rsidRPr="0027717D">
        <w:t>under section 37 of this National Law.</w:t>
      </w:r>
    </w:p>
    <w:p w:rsidR="00D66BCA" w:rsidRPr="007254A7" w:rsidRDefault="00F7502C" w:rsidP="00D66BCA">
      <w:pPr>
        <w:pStyle w:val="AHPRASubheadinglevel3"/>
      </w:pPr>
      <w:r>
        <w:t>Functions</w:t>
      </w:r>
      <w:r w:rsidR="00D66BCA" w:rsidRPr="007254A7">
        <w:t xml:space="preserve"> of the </w:t>
      </w:r>
      <w:r w:rsidR="00D66BCA">
        <w:t>Committee</w:t>
      </w:r>
    </w:p>
    <w:p w:rsidR="00F23D1B" w:rsidRDefault="00F7502C" w:rsidP="00F7502C">
      <w:pPr>
        <w:pStyle w:val="AHPRABulletlevel1"/>
        <w:numPr>
          <w:ilvl w:val="0"/>
          <w:numId w:val="0"/>
        </w:numPr>
      </w:pPr>
      <w:r>
        <w:t>The functions of the Committee are to:</w:t>
      </w:r>
    </w:p>
    <w:p w:rsidR="00F7502C" w:rsidRDefault="00F7502C" w:rsidP="00F7502C">
      <w:pPr>
        <w:pStyle w:val="AHPRABulletlevel1"/>
      </w:pPr>
      <w:r>
        <w:t>carry out the notification functions delegated by the Board pursuant to s37 of the National Law, specified in the instrument of delegation, as amended from time to time,</w:t>
      </w:r>
    </w:p>
    <w:p w:rsidR="00F7502C" w:rsidRDefault="00F7502C" w:rsidP="00F7502C">
      <w:pPr>
        <w:pStyle w:val="AHPRABulletlevel1"/>
      </w:pPr>
      <w:r>
        <w:t>provide advice to AHPRA staff dealing with the Health Complaints Entity as required, and</w:t>
      </w:r>
    </w:p>
    <w:p w:rsidR="00F7502C" w:rsidRDefault="00F7502C" w:rsidP="00F7502C">
      <w:pPr>
        <w:pStyle w:val="AHPRABulletlevel1"/>
      </w:pPr>
      <w:r>
        <w:t>advise the National Board on emerging trends or issues relating to notifications.</w:t>
      </w:r>
    </w:p>
    <w:p w:rsidR="006E55C7" w:rsidRPr="007254A7" w:rsidRDefault="006E55C7" w:rsidP="006E55C7">
      <w:pPr>
        <w:pStyle w:val="AHPRASubheadinglevel3"/>
      </w:pPr>
      <w:r w:rsidRPr="007254A7">
        <w:t>What is involved</w:t>
      </w:r>
      <w:r>
        <w:t>?</w:t>
      </w:r>
      <w:r w:rsidRPr="007254A7">
        <w:t xml:space="preserve"> </w:t>
      </w:r>
    </w:p>
    <w:p w:rsidR="006E55C7" w:rsidRDefault="00F007F5" w:rsidP="006E55C7">
      <w:pPr>
        <w:pStyle w:val="AHPRAbody"/>
      </w:pPr>
      <w:r>
        <w:t>The Committee shall meet by teleconference unless otherwise approved by the Board, at least monthly or at the Committee Chair’s discretion.</w:t>
      </w:r>
      <w:r w:rsidR="0038207B">
        <w:t xml:space="preserve">  A </w:t>
      </w:r>
      <w:r w:rsidR="000E012A">
        <w:t xml:space="preserve">jurisdictional committee </w:t>
      </w:r>
      <w:r w:rsidR="0038207B">
        <w:t xml:space="preserve">member </w:t>
      </w:r>
      <w:r w:rsidR="000E012A">
        <w:t xml:space="preserve">is </w:t>
      </w:r>
      <w:r w:rsidR="0038207B">
        <w:t>required to participate in the meeting by teleconference when the committee is considering matters from that jurisdiction.</w:t>
      </w:r>
    </w:p>
    <w:p w:rsidR="00D630A6" w:rsidRDefault="00D630A6">
      <w:pPr>
        <w:rPr>
          <w:color w:val="007DC3"/>
          <w:lang w:eastAsia="en-US"/>
        </w:rPr>
      </w:pPr>
      <w:r>
        <w:br w:type="page"/>
      </w:r>
    </w:p>
    <w:p w:rsidR="00D66BCA" w:rsidRPr="007254A7" w:rsidRDefault="00D66BCA" w:rsidP="00D66BCA">
      <w:pPr>
        <w:pStyle w:val="AHPRASubheadinglevel3"/>
      </w:pPr>
      <w:r>
        <w:lastRenderedPageBreak/>
        <w:t>Term of appointment</w:t>
      </w:r>
    </w:p>
    <w:p w:rsidR="00142E66" w:rsidRDefault="00142E66" w:rsidP="006E55C7">
      <w:pPr>
        <w:pStyle w:val="AHPRAbody"/>
        <w:rPr>
          <w:szCs w:val="20"/>
        </w:rPr>
      </w:pPr>
      <w:r w:rsidRPr="006E55C7">
        <w:rPr>
          <w:szCs w:val="20"/>
        </w:rPr>
        <w:t>All appointments are made by the Board</w:t>
      </w:r>
      <w:r w:rsidR="00D630A6">
        <w:rPr>
          <w:szCs w:val="20"/>
        </w:rPr>
        <w:t xml:space="preserve">. Members shall be appointed for a term of up to three years and may be reappointed. </w:t>
      </w:r>
    </w:p>
    <w:p w:rsidR="00D630A6" w:rsidRPr="006E55C7" w:rsidRDefault="00025164" w:rsidP="006E55C7">
      <w:pPr>
        <w:pStyle w:val="AHPRAbody"/>
        <w:rPr>
          <w:szCs w:val="20"/>
        </w:rPr>
      </w:pPr>
      <w:r>
        <w:rPr>
          <w:szCs w:val="20"/>
        </w:rPr>
        <w:t>A</w:t>
      </w:r>
      <w:r w:rsidR="00D630A6">
        <w:rPr>
          <w:szCs w:val="20"/>
        </w:rPr>
        <w:t>ppointment</w:t>
      </w:r>
      <w:r>
        <w:rPr>
          <w:szCs w:val="20"/>
        </w:rPr>
        <w:t>s</w:t>
      </w:r>
      <w:r w:rsidR="00D630A6">
        <w:rPr>
          <w:szCs w:val="20"/>
        </w:rPr>
        <w:t xml:space="preserve"> are expected to commence January 2016.</w:t>
      </w:r>
    </w:p>
    <w:p w:rsidR="00705847" w:rsidRDefault="00705847" w:rsidP="007838A4">
      <w:pPr>
        <w:pStyle w:val="AHPRASubheading"/>
        <w:spacing w:before="240"/>
      </w:pPr>
      <w:r w:rsidRPr="007254A7">
        <w:t>Selection criteria</w:t>
      </w:r>
    </w:p>
    <w:p w:rsidR="00705847" w:rsidRPr="00AD7749" w:rsidRDefault="00705847" w:rsidP="006A783B">
      <w:pPr>
        <w:pStyle w:val="AHPRAbody"/>
      </w:pPr>
      <w:r w:rsidRPr="00AD7749">
        <w:t xml:space="preserve">In selecting candidates for appointment </w:t>
      </w:r>
      <w:r w:rsidR="00E21F01">
        <w:t>to</w:t>
      </w:r>
      <w:r w:rsidR="006C3B1F">
        <w:t xml:space="preserve"> </w:t>
      </w:r>
      <w:r w:rsidR="006E55C7">
        <w:t xml:space="preserve">the </w:t>
      </w:r>
      <w:r w:rsidR="00E21F01">
        <w:t>C</w:t>
      </w:r>
      <w:r w:rsidR="006E55C7">
        <w:t>o</w:t>
      </w:r>
      <w:r w:rsidR="006C3B1F">
        <w:t>mmittee</w:t>
      </w:r>
      <w:r w:rsidRPr="00AD7749">
        <w:t xml:space="preserve">, the </w:t>
      </w:r>
      <w:r w:rsidR="00E21F01">
        <w:t xml:space="preserve">Board will give regard to the following </w:t>
      </w:r>
      <w:r w:rsidR="006C3B1F">
        <w:t xml:space="preserve">selection </w:t>
      </w:r>
      <w:r w:rsidRPr="00AD7749">
        <w:t>criteria</w:t>
      </w:r>
      <w:r w:rsidR="00914BCD">
        <w:t>:</w:t>
      </w:r>
    </w:p>
    <w:p w:rsidR="00E21F01" w:rsidRPr="007C7C7A" w:rsidRDefault="00E21F01" w:rsidP="00E21F01">
      <w:pPr>
        <w:pStyle w:val="AHPRAbody"/>
        <w:numPr>
          <w:ilvl w:val="0"/>
          <w:numId w:val="12"/>
        </w:numPr>
        <w:spacing w:after="0"/>
      </w:pPr>
      <w:r w:rsidRPr="007C7C7A">
        <w:t>general registration with the Pharmacy Board of Australia</w:t>
      </w:r>
    </w:p>
    <w:p w:rsidR="00705847" w:rsidRPr="007C7C7A" w:rsidRDefault="00BA6A2E" w:rsidP="00E21F01">
      <w:pPr>
        <w:pStyle w:val="AHPRAbody"/>
        <w:numPr>
          <w:ilvl w:val="0"/>
          <w:numId w:val="12"/>
        </w:numPr>
        <w:spacing w:after="0"/>
      </w:pPr>
      <w:r w:rsidRPr="007C7C7A">
        <w:t>a depth of experience in the profession</w:t>
      </w:r>
    </w:p>
    <w:p w:rsidR="00705847" w:rsidRPr="007C7C7A" w:rsidRDefault="00C649E1" w:rsidP="00DE12A4">
      <w:pPr>
        <w:pStyle w:val="AHPRAbody"/>
        <w:numPr>
          <w:ilvl w:val="0"/>
          <w:numId w:val="12"/>
        </w:numPr>
        <w:spacing w:after="0"/>
      </w:pPr>
      <w:r w:rsidRPr="007C7C7A">
        <w:t>an understanding</w:t>
      </w:r>
      <w:r w:rsidR="00705847" w:rsidRPr="007C7C7A">
        <w:t xml:space="preserve"> of appropriate professional </w:t>
      </w:r>
      <w:r w:rsidRPr="007C7C7A">
        <w:t>conduct and ethics</w:t>
      </w:r>
    </w:p>
    <w:p w:rsidR="0038207B" w:rsidRPr="007C7C7A" w:rsidRDefault="0038207B" w:rsidP="00DE12A4">
      <w:pPr>
        <w:pStyle w:val="AHPRAbody"/>
        <w:numPr>
          <w:ilvl w:val="0"/>
          <w:numId w:val="12"/>
        </w:numPr>
        <w:spacing w:after="0"/>
      </w:pPr>
      <w:r w:rsidRPr="007C7C7A">
        <w:rPr>
          <w:szCs w:val="20"/>
        </w:rPr>
        <w:t>a detailed knowledge of the National Law, Pharmacy Board Guidelines, Practice Standards and Drugs and Poisons Legislations in your jurisdiction</w:t>
      </w:r>
    </w:p>
    <w:p w:rsidR="00F007F5" w:rsidRDefault="00914BCD" w:rsidP="00F007F5">
      <w:pPr>
        <w:pStyle w:val="AHPRAbody"/>
        <w:numPr>
          <w:ilvl w:val="0"/>
          <w:numId w:val="12"/>
        </w:numPr>
        <w:spacing w:after="0"/>
      </w:pPr>
      <w:r w:rsidRPr="007C7C7A">
        <w:t>a</w:t>
      </w:r>
      <w:r w:rsidR="00705847" w:rsidRPr="007C7C7A">
        <w:t xml:space="preserve">n understanding of the health sector, broader health issues and how these relate to the health profession regulated by the </w:t>
      </w:r>
      <w:r w:rsidR="00DA2B00" w:rsidRPr="007C7C7A">
        <w:t xml:space="preserve">National </w:t>
      </w:r>
      <w:r w:rsidRPr="007C7C7A">
        <w:t>B</w:t>
      </w:r>
      <w:r w:rsidR="00705847" w:rsidRPr="007C7C7A">
        <w:t>oard</w:t>
      </w:r>
    </w:p>
    <w:p w:rsidR="003014AD" w:rsidRPr="00F007F5" w:rsidRDefault="0072645F" w:rsidP="00F007F5">
      <w:pPr>
        <w:pStyle w:val="AHPRASubheadinglevel3"/>
      </w:pPr>
      <w:r>
        <w:t>A</w:t>
      </w:r>
      <w:r w:rsidR="006C3B1F">
        <w:t>ttr</w:t>
      </w:r>
      <w:r w:rsidR="00BA6A2E">
        <w:t>ibutes</w:t>
      </w:r>
    </w:p>
    <w:p w:rsidR="006C3B1F" w:rsidRDefault="00E21F01" w:rsidP="00F007F5">
      <w:pPr>
        <w:spacing w:after="240"/>
        <w:rPr>
          <w:rFonts w:cs="Arial"/>
          <w:szCs w:val="20"/>
        </w:rPr>
      </w:pPr>
      <w:r w:rsidRPr="00AD7749">
        <w:t>In</w:t>
      </w:r>
      <w:r>
        <w:t xml:space="preserve"> addition to the selection criteria above, </w:t>
      </w:r>
      <w:r w:rsidRPr="00AD7749">
        <w:t xml:space="preserve">the </w:t>
      </w:r>
      <w:r>
        <w:t>Board will give regard to the following attributes:</w:t>
      </w:r>
    </w:p>
    <w:p w:rsidR="00E21F01" w:rsidRPr="00E21F01" w:rsidRDefault="00E21F01" w:rsidP="00E21F01">
      <w:pPr>
        <w:pStyle w:val="AHPRAbody"/>
        <w:numPr>
          <w:ilvl w:val="0"/>
          <w:numId w:val="32"/>
        </w:numPr>
        <w:spacing w:after="0"/>
      </w:pPr>
      <w:r>
        <w:rPr>
          <w:b/>
        </w:rPr>
        <w:t>Displays i</w:t>
      </w:r>
      <w:r w:rsidRPr="00E21F01">
        <w:rPr>
          <w:b/>
        </w:rPr>
        <w:t>ntegrity</w:t>
      </w:r>
      <w:r w:rsidRPr="00E21F01">
        <w:t>: is ethical, committed, diligent, prepared, organised, professional, principles-based and respectful, values diversity, and shows courage and independence.</w:t>
      </w:r>
    </w:p>
    <w:p w:rsidR="00E21F01" w:rsidRPr="00E21F01" w:rsidRDefault="00E21F01" w:rsidP="00E21F01">
      <w:pPr>
        <w:pStyle w:val="AHPRAbody"/>
        <w:numPr>
          <w:ilvl w:val="0"/>
          <w:numId w:val="32"/>
        </w:numPr>
        <w:spacing w:after="0"/>
      </w:pPr>
      <w:r w:rsidRPr="00E21F01">
        <w:rPr>
          <w:b/>
        </w:rPr>
        <w:t>Thinks critically</w:t>
      </w:r>
      <w:r w:rsidRPr="00E21F01">
        <w:t>:  is objective and impartial, uses logical and analytical processes, distils the core of complex issues and weighs up options.</w:t>
      </w:r>
    </w:p>
    <w:p w:rsidR="00E21F01" w:rsidRPr="00E21F01" w:rsidRDefault="00E21F01" w:rsidP="00E21F01">
      <w:pPr>
        <w:pStyle w:val="AHPRAbody"/>
        <w:numPr>
          <w:ilvl w:val="0"/>
          <w:numId w:val="32"/>
        </w:numPr>
        <w:spacing w:after="0"/>
      </w:pPr>
      <w:r>
        <w:rPr>
          <w:b/>
        </w:rPr>
        <w:t>Applies e</w:t>
      </w:r>
      <w:r w:rsidRPr="00E21F01">
        <w:rPr>
          <w:b/>
        </w:rPr>
        <w:t>xpertise</w:t>
      </w:r>
      <w:r w:rsidRPr="00E21F01">
        <w:t>: actively applies relevant knowledge, skills and experience to contribute to decision-making.</w:t>
      </w:r>
    </w:p>
    <w:p w:rsidR="00E21F01" w:rsidRPr="00E21F01" w:rsidRDefault="00E21F01" w:rsidP="00E21F01">
      <w:pPr>
        <w:pStyle w:val="AHPRAbody"/>
        <w:numPr>
          <w:ilvl w:val="0"/>
          <w:numId w:val="32"/>
        </w:numPr>
        <w:spacing w:after="0"/>
      </w:pPr>
      <w:r w:rsidRPr="00E21F01">
        <w:rPr>
          <w:b/>
        </w:rPr>
        <w:t>Communicates constructively</w:t>
      </w:r>
      <w:r w:rsidRPr="00E21F01">
        <w:t>:  is articulate, persuasive and diplomatic, is self-aware and reflects on personal impact and effectiveness, listens and responds constructively to contributions from others.</w:t>
      </w:r>
    </w:p>
    <w:p w:rsidR="00E21F01" w:rsidRPr="00E21F01" w:rsidRDefault="00E21F01" w:rsidP="00E21F01">
      <w:pPr>
        <w:pStyle w:val="AHPRAbody"/>
        <w:numPr>
          <w:ilvl w:val="0"/>
          <w:numId w:val="32"/>
        </w:numPr>
        <w:spacing w:after="0"/>
      </w:pPr>
      <w:r w:rsidRPr="00E21F01">
        <w:rPr>
          <w:b/>
        </w:rPr>
        <w:t>Focuses strategically</w:t>
      </w:r>
      <w:r w:rsidRPr="00E21F01">
        <w:t>: takes a broad perspective, can see the big picture, and considers long term impacts.</w:t>
      </w:r>
    </w:p>
    <w:p w:rsidR="00E21F01" w:rsidRPr="00E21F01" w:rsidRDefault="00E21F01" w:rsidP="00E21F01">
      <w:pPr>
        <w:pStyle w:val="AHPRAbody"/>
        <w:numPr>
          <w:ilvl w:val="0"/>
          <w:numId w:val="32"/>
        </w:numPr>
        <w:spacing w:after="0"/>
      </w:pPr>
      <w:r w:rsidRPr="00E21F01">
        <w:rPr>
          <w:b/>
        </w:rPr>
        <w:t>Collab</w:t>
      </w:r>
      <w:r>
        <w:rPr>
          <w:b/>
        </w:rPr>
        <w:t>orates in the interests of the s</w:t>
      </w:r>
      <w:r w:rsidRPr="00E21F01">
        <w:rPr>
          <w:b/>
        </w:rPr>
        <w:t>cheme</w:t>
      </w:r>
      <w:r w:rsidRPr="00E21F01">
        <w:t>: is a team player, flexible and cooperative, creates partnerships withi</w:t>
      </w:r>
      <w:r w:rsidR="00EA496E">
        <w:t>n and between boards and AHPRA.</w:t>
      </w:r>
    </w:p>
    <w:p w:rsidR="005C0105" w:rsidRDefault="005C0105" w:rsidP="005C0105"/>
    <w:p w:rsidR="00705847" w:rsidRPr="005C0105" w:rsidRDefault="00705847" w:rsidP="005C0105">
      <w:pPr>
        <w:pStyle w:val="AHPRASubheading"/>
      </w:pPr>
      <w:r w:rsidRPr="007254A7">
        <w:t>Selection process</w:t>
      </w:r>
    </w:p>
    <w:p w:rsidR="00BA6A2E" w:rsidRPr="00AD7749" w:rsidRDefault="00BA6A2E" w:rsidP="00BA6A2E">
      <w:pPr>
        <w:pStyle w:val="AHPRAbody"/>
        <w:spacing w:after="0"/>
      </w:pPr>
      <w:r>
        <w:t>A</w:t>
      </w:r>
      <w:r w:rsidRPr="00AD7749">
        <w:t>pplicants will be required to provide proof of identity</w:t>
      </w:r>
      <w:r w:rsidRPr="00AD7749">
        <w:rPr>
          <w:i/>
        </w:rPr>
        <w:t xml:space="preserve"> </w:t>
      </w:r>
      <w:r w:rsidRPr="00AD7749">
        <w:t>and</w:t>
      </w:r>
      <w:r>
        <w:t>,</w:t>
      </w:r>
      <w:r w:rsidRPr="00AD7749">
        <w:t xml:space="preserve"> </w:t>
      </w:r>
      <w:r>
        <w:t xml:space="preserve">if shortlisted, </w:t>
      </w:r>
      <w:r w:rsidRPr="00AD7749">
        <w:t>undergo probity checks, which include:</w:t>
      </w:r>
    </w:p>
    <w:p w:rsidR="00BA6A2E" w:rsidRPr="001D2EC6" w:rsidRDefault="00BA6A2E" w:rsidP="00BA6A2E">
      <w:pPr>
        <w:pStyle w:val="AHPRABulletlevel1"/>
      </w:pPr>
      <w:r w:rsidRPr="001D2EC6">
        <w:t>a national criminal history check by CrimTrac</w:t>
      </w:r>
    </w:p>
    <w:p w:rsidR="00BA6A2E" w:rsidRPr="001D2EC6" w:rsidRDefault="00BA6A2E" w:rsidP="00BA6A2E">
      <w:pPr>
        <w:pStyle w:val="AHPRABulletlevel1"/>
      </w:pPr>
      <w:r w:rsidRPr="001D2EC6">
        <w:t>an Australian Securities and Investments Commission disqualification register check, and</w:t>
      </w:r>
    </w:p>
    <w:p w:rsidR="00BA6A2E" w:rsidRDefault="009D2F13" w:rsidP="00BA6A2E">
      <w:pPr>
        <w:pStyle w:val="AHPRABulletlevel1"/>
        <w:spacing w:after="240"/>
      </w:pPr>
      <w:r>
        <w:t xml:space="preserve">a </w:t>
      </w:r>
      <w:r w:rsidR="00BA6A2E" w:rsidRPr="001D2EC6">
        <w:t>National Personal Insolvency Index check conducted through the</w:t>
      </w:r>
      <w:r w:rsidR="00BA6A2E">
        <w:t xml:space="preserve"> Australian Financial Security Authority</w:t>
      </w:r>
      <w:r w:rsidR="00BA6A2E" w:rsidRPr="001D2EC6">
        <w:t>.</w:t>
      </w:r>
    </w:p>
    <w:p w:rsidR="00BA6A2E" w:rsidRDefault="00BA6A2E" w:rsidP="00BA6A2E">
      <w:pPr>
        <w:pStyle w:val="AHPRABulletlevel1"/>
        <w:numPr>
          <w:ilvl w:val="0"/>
          <w:numId w:val="0"/>
        </w:numPr>
        <w:spacing w:after="240"/>
      </w:pPr>
      <w:r w:rsidRPr="00AD7749">
        <w:t>Applicants are also required to provide information on whether they are current members of other government or statutory bodies.</w:t>
      </w:r>
    </w:p>
    <w:p w:rsidR="003014AD" w:rsidRPr="00AD7749" w:rsidRDefault="003014AD" w:rsidP="003014AD">
      <w:pPr>
        <w:pStyle w:val="AHPRAbody"/>
      </w:pPr>
      <w:r w:rsidRPr="00AD7749">
        <w:t xml:space="preserve">Shortlisted </w:t>
      </w:r>
      <w:r w:rsidR="00BA6A2E">
        <w:t>candidates</w:t>
      </w:r>
      <w:r w:rsidRPr="00AD7749">
        <w:t xml:space="preserve"> may be interviewed to ensure that they have the necessary qualifications, skills and experience for the position. </w:t>
      </w:r>
    </w:p>
    <w:p w:rsidR="003014AD" w:rsidRPr="00AD7749" w:rsidRDefault="00BA6A2E" w:rsidP="006A783B">
      <w:pPr>
        <w:pStyle w:val="AHPRAbody"/>
        <w:spacing w:before="240"/>
      </w:pPr>
      <w:r>
        <w:t>A</w:t>
      </w:r>
      <w:r w:rsidR="003014AD" w:rsidRPr="00AD7749">
        <w:t xml:space="preserve"> check of </w:t>
      </w:r>
      <w:r w:rsidR="003014AD">
        <w:t>National B</w:t>
      </w:r>
      <w:r w:rsidR="003014AD" w:rsidRPr="00AD7749">
        <w:t xml:space="preserve">oard records will be undertaken to ensure that </w:t>
      </w:r>
      <w:r>
        <w:t xml:space="preserve">a </w:t>
      </w:r>
      <w:r w:rsidR="003014AD" w:rsidRPr="00AD7749">
        <w:t xml:space="preserve">practitioner </w:t>
      </w:r>
      <w:r>
        <w:t xml:space="preserve">applicant </w:t>
      </w:r>
      <w:r w:rsidR="003014AD" w:rsidRPr="00AD7749">
        <w:t>is of good standing</w:t>
      </w:r>
      <w:r>
        <w:t xml:space="preserve"> in the profession</w:t>
      </w:r>
      <w:r w:rsidR="003014AD" w:rsidRPr="00AD7749">
        <w:t>.</w:t>
      </w:r>
    </w:p>
    <w:p w:rsidR="005C0105" w:rsidRDefault="005C0105">
      <w:pPr>
        <w:rPr>
          <w:color w:val="007DC3"/>
          <w:lang w:eastAsia="en-US"/>
        </w:rPr>
      </w:pPr>
      <w:r>
        <w:br w:type="page"/>
      </w:r>
    </w:p>
    <w:p w:rsidR="003014AD" w:rsidRPr="00AD7749" w:rsidRDefault="003014AD" w:rsidP="00BA6A2E">
      <w:pPr>
        <w:pStyle w:val="AHPRASubheadinglevel3"/>
      </w:pPr>
      <w:r w:rsidRPr="00AD7749">
        <w:lastRenderedPageBreak/>
        <w:t>Referee reports</w:t>
      </w:r>
    </w:p>
    <w:p w:rsidR="003014AD" w:rsidRPr="00AD7749" w:rsidRDefault="003014AD" w:rsidP="003014AD">
      <w:pPr>
        <w:pStyle w:val="AHPRAbody"/>
      </w:pPr>
      <w:r w:rsidRPr="00AD7749">
        <w:t xml:space="preserve">Referee reports are an important part of the selection process and at least one report will be obtained for all shortlisted </w:t>
      </w:r>
      <w:r w:rsidR="005C0105">
        <w:t>candidates</w:t>
      </w:r>
      <w:r w:rsidRPr="00AD7749">
        <w:t xml:space="preserve">.  </w:t>
      </w:r>
      <w:r w:rsidR="005C0105">
        <w:t>A</w:t>
      </w:r>
      <w:r w:rsidRPr="00AD7749">
        <w:t xml:space="preserve">pplicants are asked to nominate </w:t>
      </w:r>
      <w:r>
        <w:t>two to three</w:t>
      </w:r>
      <w:r w:rsidRPr="00AD7749">
        <w:t xml:space="preserve"> referees who can support the</w:t>
      </w:r>
      <w:r w:rsidR="005C0105">
        <w:t>ir</w:t>
      </w:r>
      <w:r w:rsidRPr="00AD7749">
        <w:t xml:space="preserve"> application relevant to the key selection criteria and duties of the position.</w:t>
      </w:r>
    </w:p>
    <w:p w:rsidR="00661F5F" w:rsidRPr="007254A7" w:rsidRDefault="00661F5F" w:rsidP="00E25DDC">
      <w:pPr>
        <w:pStyle w:val="AHPRASubheading"/>
      </w:pPr>
      <w:r w:rsidRPr="007254A7">
        <w:t>Remuneration</w:t>
      </w:r>
    </w:p>
    <w:p w:rsidR="00661F5F" w:rsidRPr="00BE1C00" w:rsidRDefault="005C0105" w:rsidP="005C0105">
      <w:pPr>
        <w:autoSpaceDE w:val="0"/>
        <w:autoSpaceDN w:val="0"/>
        <w:adjustRightInd w:val="0"/>
        <w:rPr>
          <w:rFonts w:eastAsia="Calibri" w:cs="Arial"/>
          <w:szCs w:val="20"/>
        </w:rPr>
      </w:pPr>
      <w:r>
        <w:t>Sitting fees are</w:t>
      </w:r>
      <w:r w:rsidR="00661F5F" w:rsidRPr="00AD7749">
        <w:t xml:space="preserve"> </w:t>
      </w:r>
      <w:r w:rsidR="00661F5F" w:rsidRPr="00BE1C00">
        <w:rPr>
          <w:rFonts w:cs="Arial"/>
          <w:szCs w:val="20"/>
        </w:rPr>
        <w:t xml:space="preserve">determined by the Australian Health Workforce Ministerial Council </w:t>
      </w:r>
      <w:r w:rsidR="00661F5F" w:rsidRPr="00BE1C00">
        <w:rPr>
          <w:rFonts w:eastAsia="Calibri" w:cs="Arial"/>
          <w:szCs w:val="20"/>
        </w:rPr>
        <w:t>having regard to the remuneration generally applied to regulatory bodies with a substantial influence on the health industry.</w:t>
      </w:r>
    </w:p>
    <w:p w:rsidR="00661F5F" w:rsidRPr="00AD7749" w:rsidRDefault="005C0105" w:rsidP="005C0105">
      <w:pPr>
        <w:autoSpaceDE w:val="0"/>
        <w:autoSpaceDN w:val="0"/>
        <w:adjustRightInd w:val="0"/>
        <w:spacing w:before="200" w:after="120"/>
      </w:pPr>
      <w:r>
        <w:rPr>
          <w:rFonts w:cs="Arial"/>
          <w:szCs w:val="20"/>
        </w:rPr>
        <w:t>The current</w:t>
      </w:r>
      <w:r w:rsidR="00661F5F" w:rsidRPr="004966F7">
        <w:rPr>
          <w:rFonts w:cs="Arial"/>
          <w:szCs w:val="20"/>
        </w:rPr>
        <w:t xml:space="preserve"> remuneration (daily sitting fee) is </w:t>
      </w:r>
      <w:r w:rsidR="00661F5F">
        <w:rPr>
          <w:rFonts w:cs="Arial"/>
          <w:szCs w:val="20"/>
        </w:rPr>
        <w:t>detailed in the table below.</w:t>
      </w:r>
      <w:r w:rsidR="006A783B">
        <w:rPr>
          <w:rFonts w:cs="Arial"/>
          <w:szCs w:val="20"/>
        </w:rPr>
        <w:t xml:space="preserve"> </w:t>
      </w:r>
      <w:r w:rsidR="00661F5F" w:rsidRPr="00AD7749">
        <w:t xml:space="preserve">The full day rate applies to all meetings </w:t>
      </w:r>
      <w:r w:rsidR="00E25DDC">
        <w:t xml:space="preserve">or hearings </w:t>
      </w:r>
      <w:r w:rsidR="00661F5F" w:rsidRPr="00AD7749">
        <w:t xml:space="preserve">and other assignments in excess of four hours in a day.  The fees paid are assessable under the </w:t>
      </w:r>
      <w:r>
        <w:t>Income Tax Assessment Act 1997.</w:t>
      </w:r>
    </w:p>
    <w:p w:rsidR="00661F5F" w:rsidRPr="00AD7749" w:rsidRDefault="00661F5F" w:rsidP="005C0105">
      <w:pPr>
        <w:pStyle w:val="AHPRAbody"/>
      </w:pPr>
      <w:r w:rsidRPr="00AD7749">
        <w:t xml:space="preserve">Under the </w:t>
      </w:r>
      <w:r w:rsidRPr="00AD7749">
        <w:rPr>
          <w:i/>
        </w:rPr>
        <w:t>Superannuation Guarantee (Administration) Act 1992</w:t>
      </w:r>
      <w:r w:rsidRPr="00AD7749">
        <w:t xml:space="preserve"> </w:t>
      </w:r>
      <w:r w:rsidR="005C0105">
        <w:t>members</w:t>
      </w:r>
      <w:r w:rsidRPr="00AD7749">
        <w:t xml:space="preserve"> are eligible to receive contributions at</w:t>
      </w:r>
      <w:r w:rsidR="00BB2D7A">
        <w:t xml:space="preserve"> 9.5%</w:t>
      </w:r>
      <w:r w:rsidRPr="00AD7749">
        <w:t xml:space="preserve"> cent of total annual remuneration to a </w:t>
      </w:r>
      <w:r w:rsidR="005C0105">
        <w:t xml:space="preserve">chosen </w:t>
      </w:r>
      <w:r w:rsidRPr="00AD7749">
        <w:t>superannuation fund, payable when you are paid more than $450 in fees in a calendar month.</w:t>
      </w:r>
    </w:p>
    <w:p w:rsidR="00E25DDC" w:rsidRDefault="00E25DDC"/>
    <w:tbl>
      <w:tblPr>
        <w:tblW w:w="8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1843"/>
        <w:gridCol w:w="1665"/>
      </w:tblGrid>
      <w:tr w:rsidR="00661F5F" w:rsidRPr="00AD7749" w:rsidTr="00661F5F">
        <w:trPr>
          <w:jc w:val="center"/>
        </w:trPr>
        <w:tc>
          <w:tcPr>
            <w:tcW w:w="2977" w:type="dxa"/>
            <w:vMerge w:val="restart"/>
            <w:shd w:val="clear" w:color="auto" w:fill="auto"/>
            <w:vAlign w:val="center"/>
          </w:tcPr>
          <w:p w:rsidR="00661F5F" w:rsidRPr="00AD7749" w:rsidRDefault="00661F5F" w:rsidP="00661F5F">
            <w:pPr>
              <w:rPr>
                <w:rFonts w:cs="Arial"/>
                <w:b/>
                <w:szCs w:val="20"/>
              </w:rPr>
            </w:pPr>
            <w:r w:rsidRPr="00AD7749">
              <w:rPr>
                <w:rFonts w:cs="Arial"/>
                <w:b/>
                <w:szCs w:val="20"/>
              </w:rPr>
              <w:t>Role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1F5F" w:rsidRPr="00AD7749" w:rsidRDefault="00661F5F" w:rsidP="00661F5F">
            <w:pPr>
              <w:rPr>
                <w:rFonts w:cs="Arial"/>
                <w:b/>
                <w:szCs w:val="20"/>
              </w:rPr>
            </w:pPr>
            <w:r w:rsidRPr="00AD7749">
              <w:rPr>
                <w:rFonts w:cs="Arial"/>
                <w:b/>
                <w:szCs w:val="20"/>
              </w:rPr>
              <w:t>Attendance</w:t>
            </w:r>
          </w:p>
          <w:p w:rsidR="00661F5F" w:rsidRPr="00AD7749" w:rsidRDefault="00661F5F" w:rsidP="006A783B">
            <w:pPr>
              <w:ind w:left="21"/>
              <w:rPr>
                <w:rFonts w:cs="Arial"/>
                <w:szCs w:val="20"/>
              </w:rPr>
            </w:pPr>
            <w:r w:rsidRPr="00AD7749">
              <w:rPr>
                <w:rFonts w:cs="Arial"/>
                <w:szCs w:val="20"/>
              </w:rPr>
              <w:t>(Fee includes preparation and up to 4 hours travel time)</w:t>
            </w:r>
          </w:p>
        </w:tc>
        <w:tc>
          <w:tcPr>
            <w:tcW w:w="3508" w:type="dxa"/>
            <w:gridSpan w:val="2"/>
            <w:shd w:val="clear" w:color="auto" w:fill="auto"/>
            <w:vAlign w:val="center"/>
          </w:tcPr>
          <w:p w:rsidR="00661F5F" w:rsidRPr="00AD7749" w:rsidRDefault="00661F5F" w:rsidP="00661F5F">
            <w:pPr>
              <w:rPr>
                <w:rFonts w:cs="Arial"/>
                <w:b/>
                <w:szCs w:val="20"/>
              </w:rPr>
            </w:pPr>
            <w:r w:rsidRPr="00AD7749">
              <w:rPr>
                <w:rFonts w:cs="Arial"/>
                <w:b/>
                <w:szCs w:val="20"/>
              </w:rPr>
              <w:t>Extra travel time</w:t>
            </w:r>
          </w:p>
          <w:p w:rsidR="00661F5F" w:rsidRPr="00AD7749" w:rsidRDefault="00661F5F" w:rsidP="00661F5F">
            <w:pPr>
              <w:rPr>
                <w:rFonts w:cs="Arial"/>
                <w:b/>
                <w:szCs w:val="20"/>
              </w:rPr>
            </w:pPr>
          </w:p>
        </w:tc>
      </w:tr>
      <w:tr w:rsidR="00661F5F" w:rsidRPr="00AD7749" w:rsidTr="00661F5F">
        <w:trPr>
          <w:jc w:val="center"/>
        </w:trPr>
        <w:tc>
          <w:tcPr>
            <w:tcW w:w="2977" w:type="dxa"/>
            <w:vMerge/>
            <w:shd w:val="clear" w:color="auto" w:fill="auto"/>
            <w:vAlign w:val="center"/>
          </w:tcPr>
          <w:p w:rsidR="00661F5F" w:rsidRPr="00AD7749" w:rsidRDefault="00661F5F" w:rsidP="00661F5F">
            <w:pPr>
              <w:rPr>
                <w:rFonts w:cs="Arial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61F5F" w:rsidRPr="00AD7749" w:rsidRDefault="00661F5F" w:rsidP="00661F5F">
            <w:pPr>
              <w:ind w:left="34"/>
              <w:rPr>
                <w:rFonts w:cs="Arial"/>
                <w:szCs w:val="20"/>
              </w:rPr>
            </w:pPr>
            <w:r w:rsidRPr="00AD7749">
              <w:rPr>
                <w:rFonts w:cs="Arial"/>
                <w:szCs w:val="20"/>
              </w:rPr>
              <w:t>Daily sitting fee</w:t>
            </w:r>
          </w:p>
          <w:p w:rsidR="00661F5F" w:rsidRPr="00AD7749" w:rsidRDefault="00661F5F" w:rsidP="00661F5F">
            <w:pPr>
              <w:ind w:left="34"/>
              <w:rPr>
                <w:rFonts w:cs="Arial"/>
                <w:szCs w:val="20"/>
              </w:rPr>
            </w:pPr>
            <w:r w:rsidRPr="00AD7749">
              <w:rPr>
                <w:rFonts w:cs="Arial"/>
                <w:szCs w:val="20"/>
              </w:rPr>
              <w:t>(more than 4 hours in a day)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61F5F" w:rsidRPr="00AD7749" w:rsidRDefault="00661F5F" w:rsidP="00661F5F">
            <w:pPr>
              <w:ind w:left="34"/>
              <w:rPr>
                <w:rFonts w:cs="Arial"/>
                <w:szCs w:val="20"/>
              </w:rPr>
            </w:pPr>
            <w:r w:rsidRPr="00AD7749">
              <w:rPr>
                <w:rFonts w:cs="Arial"/>
                <w:szCs w:val="20"/>
              </w:rPr>
              <w:t>Between 4-8 hours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661F5F" w:rsidRPr="00AD7749" w:rsidRDefault="00661F5F" w:rsidP="00661F5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</w:t>
            </w:r>
            <w:r w:rsidRPr="00AD7749">
              <w:rPr>
                <w:rFonts w:cs="Arial"/>
                <w:szCs w:val="20"/>
              </w:rPr>
              <w:t xml:space="preserve">Over 8 </w:t>
            </w:r>
            <w:r>
              <w:rPr>
                <w:rFonts w:cs="Arial"/>
                <w:szCs w:val="20"/>
              </w:rPr>
              <w:t>h</w:t>
            </w:r>
            <w:r w:rsidRPr="00AD7749">
              <w:rPr>
                <w:rFonts w:cs="Arial"/>
                <w:szCs w:val="20"/>
              </w:rPr>
              <w:t>ours</w:t>
            </w:r>
          </w:p>
        </w:tc>
      </w:tr>
      <w:tr w:rsidR="00661F5F" w:rsidRPr="00AD7749" w:rsidTr="00661F5F">
        <w:trPr>
          <w:jc w:val="center"/>
        </w:trPr>
        <w:tc>
          <w:tcPr>
            <w:tcW w:w="2977" w:type="dxa"/>
            <w:shd w:val="clear" w:color="auto" w:fill="auto"/>
            <w:vAlign w:val="center"/>
          </w:tcPr>
          <w:p w:rsidR="00661F5F" w:rsidRPr="00AD7749" w:rsidRDefault="00661F5F" w:rsidP="00661F5F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Member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1F5F" w:rsidRPr="00AD7749" w:rsidRDefault="00661F5F" w:rsidP="00661F5F">
            <w:pPr>
              <w:spacing w:before="120" w:after="120"/>
              <w:ind w:right="22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</w:t>
            </w:r>
            <w:r w:rsidR="00505327">
              <w:rPr>
                <w:rFonts w:cs="Arial"/>
                <w:szCs w:val="20"/>
              </w:rPr>
              <w:t>6</w:t>
            </w:r>
            <w:r w:rsidR="002573EC">
              <w:rPr>
                <w:rFonts w:cs="Arial"/>
                <w:szCs w:val="20"/>
              </w:rPr>
              <w:t>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61F5F" w:rsidRPr="00AD7749" w:rsidRDefault="00661F5F" w:rsidP="00661F5F">
            <w:pPr>
              <w:spacing w:before="120" w:after="120"/>
              <w:ind w:right="227"/>
              <w:rPr>
                <w:rFonts w:cs="Arial"/>
                <w:szCs w:val="20"/>
              </w:rPr>
            </w:pPr>
            <w:r w:rsidRPr="00AD7749">
              <w:rPr>
                <w:rFonts w:cs="Arial"/>
                <w:szCs w:val="20"/>
              </w:rPr>
              <w:t>$</w:t>
            </w:r>
            <w:r w:rsidR="00505327">
              <w:rPr>
                <w:rFonts w:cs="Arial"/>
                <w:szCs w:val="20"/>
              </w:rPr>
              <w:t>30</w:t>
            </w:r>
            <w:r w:rsidR="002573EC">
              <w:rPr>
                <w:rFonts w:cs="Arial"/>
                <w:szCs w:val="20"/>
              </w:rPr>
              <w:t>7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661F5F" w:rsidRPr="00AD7749" w:rsidRDefault="00661F5F" w:rsidP="00661F5F">
            <w:pPr>
              <w:spacing w:before="120" w:after="120"/>
              <w:ind w:right="227"/>
              <w:rPr>
                <w:rFonts w:cs="Arial"/>
                <w:szCs w:val="20"/>
              </w:rPr>
            </w:pPr>
            <w:r w:rsidRPr="00AD7749">
              <w:rPr>
                <w:rFonts w:cs="Arial"/>
                <w:szCs w:val="20"/>
              </w:rPr>
              <w:t>$</w:t>
            </w:r>
            <w:r w:rsidR="00505327">
              <w:rPr>
                <w:rFonts w:cs="Arial"/>
                <w:szCs w:val="20"/>
              </w:rPr>
              <w:t>6</w:t>
            </w:r>
            <w:r w:rsidR="002573EC">
              <w:rPr>
                <w:rFonts w:cs="Arial"/>
                <w:szCs w:val="20"/>
              </w:rPr>
              <w:t>15</w:t>
            </w:r>
          </w:p>
        </w:tc>
      </w:tr>
    </w:tbl>
    <w:p w:rsidR="00661F5F" w:rsidRPr="00AD7749" w:rsidRDefault="00661F5F" w:rsidP="00661F5F">
      <w:pPr>
        <w:rPr>
          <w:rFonts w:cs="Arial"/>
          <w:szCs w:val="20"/>
        </w:rPr>
      </w:pPr>
    </w:p>
    <w:p w:rsidR="00661F5F" w:rsidRPr="007A4E4A" w:rsidRDefault="00661F5F" w:rsidP="00B64CBB">
      <w:pPr>
        <w:pStyle w:val="AHPRAbody"/>
      </w:pPr>
      <w:r w:rsidRPr="007A4E4A">
        <w:t>For meetings that are less than 4 hours, half the daily fee is payable.</w:t>
      </w:r>
    </w:p>
    <w:p w:rsidR="00E25DDC" w:rsidRPr="007254A7" w:rsidRDefault="00E25DDC" w:rsidP="00E25DDC">
      <w:pPr>
        <w:pStyle w:val="AHPRASubheadinglevel3"/>
      </w:pPr>
      <w:r w:rsidRPr="007254A7">
        <w:t>Expenses</w:t>
      </w:r>
    </w:p>
    <w:p w:rsidR="00E25DDC" w:rsidRPr="00AD7749" w:rsidRDefault="0038207B" w:rsidP="00E25DDC">
      <w:pPr>
        <w:pStyle w:val="AHPRAbody"/>
      </w:pPr>
      <w:r>
        <w:t xml:space="preserve">Committee </w:t>
      </w:r>
      <w:r w:rsidR="00E25DDC" w:rsidRPr="00AD7749">
        <w:t xml:space="preserve">members are entitled to claim travel, accommodation and subsistence expenses incurred as part of participating </w:t>
      </w:r>
      <w:r>
        <w:t>at face-to-face meetings if required</w:t>
      </w:r>
      <w:r w:rsidR="00E25DDC" w:rsidRPr="00AD7749">
        <w:t xml:space="preserve">. More information on allowances and the process of payments and claims will be provided if you are appointed. </w:t>
      </w:r>
    </w:p>
    <w:p w:rsidR="00E25DDC" w:rsidRDefault="00E25DDC" w:rsidP="00E25DDC">
      <w:pPr>
        <w:pStyle w:val="AHPRASubheadinglevel3"/>
      </w:pPr>
      <w:r>
        <w:t>Government or statutory employees</w:t>
      </w:r>
    </w:p>
    <w:p w:rsidR="00E25DDC" w:rsidRDefault="00E25DDC" w:rsidP="00E25DDC">
      <w:pPr>
        <w:pStyle w:val="AHPRAbody"/>
      </w:pPr>
      <w:r w:rsidRPr="00087400">
        <w:t xml:space="preserve">AHPRA recognises that government and statutory employees may be bound by their employer policy regarding payment for employment undertaken outside of the employer which may </w:t>
      </w:r>
      <w:r w:rsidR="005C0105">
        <w:t>alter the way members are paid.</w:t>
      </w:r>
    </w:p>
    <w:p w:rsidR="009311B0" w:rsidRPr="002573EC" w:rsidRDefault="005C0105" w:rsidP="005C0105">
      <w:pPr>
        <w:pStyle w:val="AHPRAbody"/>
      </w:pPr>
      <w:r>
        <w:t>We recommend applicants consult with their</w:t>
      </w:r>
      <w:r w:rsidR="00E25DDC" w:rsidRPr="00191F5C">
        <w:t xml:space="preserve"> employer prior to applying to ensure an acknowledgement of permission </w:t>
      </w:r>
      <w:r>
        <w:t>can be provided from their</w:t>
      </w:r>
      <w:r w:rsidR="00E25DDC" w:rsidRPr="00191F5C">
        <w:t xml:space="preserve"> employer</w:t>
      </w:r>
      <w:r>
        <w:t>, allowing them</w:t>
      </w:r>
      <w:r w:rsidR="00E25DDC" w:rsidRPr="00191F5C">
        <w:t xml:space="preserve"> to be appointed as a </w:t>
      </w:r>
      <w:r w:rsidR="00E25DDC">
        <w:t xml:space="preserve">committee </w:t>
      </w:r>
      <w:r w:rsidR="00E25DDC" w:rsidRPr="00191F5C">
        <w:t>member, and/or receive remunera</w:t>
      </w:r>
      <w:r>
        <w:t>tion, should they</w:t>
      </w:r>
      <w:r w:rsidR="00E25DDC" w:rsidRPr="00191F5C">
        <w:t xml:space="preserve"> be successful. </w:t>
      </w:r>
    </w:p>
    <w:sectPr w:rsidR="009311B0" w:rsidRPr="002573EC" w:rsidSect="0061618F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09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A2E" w:rsidRDefault="00BA6A2E">
      <w:r>
        <w:separator/>
      </w:r>
    </w:p>
  </w:endnote>
  <w:endnote w:type="continuationSeparator" w:id="0">
    <w:p w:rsidR="00BA6A2E" w:rsidRDefault="00BA6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A2E" w:rsidRDefault="00BA6A2E" w:rsidP="00AF3C77">
    <w:pPr>
      <w:pStyle w:val="Footer"/>
      <w:pBdr>
        <w:top w:val="single" w:sz="4" w:space="1" w:color="auto"/>
      </w:pBdr>
      <w:rPr>
        <w:rStyle w:val="PageNumber"/>
        <w:sz w:val="20"/>
      </w:rPr>
    </w:pPr>
  </w:p>
  <w:p w:rsidR="00BA6A2E" w:rsidRPr="00CA0F59" w:rsidRDefault="00BA6A2E" w:rsidP="002573EC">
    <w:pPr>
      <w:pStyle w:val="Footer"/>
      <w:pBdr>
        <w:top w:val="single" w:sz="4" w:space="1" w:color="auto"/>
      </w:pBdr>
    </w:pPr>
    <w:r>
      <w:rPr>
        <w:rFonts w:cs="Arial"/>
        <w:i/>
        <w:sz w:val="16"/>
      </w:rPr>
      <w:t>Notifications Committee</w:t>
    </w:r>
    <w:r w:rsidRPr="00CA0F59">
      <w:rPr>
        <w:rFonts w:cs="Arial"/>
        <w:i/>
        <w:sz w:val="16"/>
      </w:rPr>
      <w:t xml:space="preserve">: </w:t>
    </w:r>
    <w:r>
      <w:rPr>
        <w:rFonts w:cs="Arial"/>
        <w:i/>
        <w:sz w:val="16"/>
      </w:rPr>
      <w:t>a</w:t>
    </w:r>
    <w:r w:rsidRPr="00CA0F59">
      <w:rPr>
        <w:rFonts w:cs="Arial"/>
        <w:i/>
        <w:sz w:val="16"/>
      </w:rPr>
      <w:t xml:space="preserve">pplication </w:t>
    </w:r>
    <w:r>
      <w:rPr>
        <w:rFonts w:cs="Arial"/>
        <w:i/>
        <w:sz w:val="16"/>
      </w:rPr>
      <w:t>g</w:t>
    </w:r>
    <w:r w:rsidRPr="00CA0F59">
      <w:rPr>
        <w:rFonts w:cs="Arial"/>
        <w:i/>
        <w:sz w:val="16"/>
      </w:rPr>
      <w:t>uide/</w:t>
    </w:r>
    <w:r>
      <w:rPr>
        <w:rFonts w:cs="Arial"/>
        <w:sz w:val="16"/>
      </w:rPr>
      <w:t xml:space="preserve"> August 2015</w:t>
    </w:r>
    <w:r>
      <w:rPr>
        <w:rFonts w:cs="Arial"/>
        <w:sz w:val="16"/>
      </w:rPr>
      <w:tab/>
    </w:r>
    <w:r>
      <w:rPr>
        <w:rFonts w:cs="Arial"/>
        <w:sz w:val="16"/>
      </w:rPr>
      <w:tab/>
    </w:r>
    <w:r>
      <w:rPr>
        <w:rFonts w:cs="Arial"/>
        <w:sz w:val="14"/>
      </w:rPr>
      <w:t xml:space="preserve">Page </w:t>
    </w:r>
    <w:r w:rsidR="000F7056">
      <w:rPr>
        <w:rFonts w:cs="Arial"/>
        <w:b/>
        <w:sz w:val="16"/>
      </w:rPr>
      <w:fldChar w:fldCharType="begin"/>
    </w:r>
    <w:r>
      <w:rPr>
        <w:rFonts w:cs="Arial"/>
        <w:b/>
        <w:sz w:val="14"/>
      </w:rPr>
      <w:instrText xml:space="preserve"> PAGE </w:instrText>
    </w:r>
    <w:r w:rsidR="000F7056">
      <w:rPr>
        <w:rFonts w:cs="Arial"/>
        <w:b/>
        <w:sz w:val="16"/>
      </w:rPr>
      <w:fldChar w:fldCharType="separate"/>
    </w:r>
    <w:r w:rsidR="00B1072D">
      <w:rPr>
        <w:rFonts w:cs="Arial"/>
        <w:b/>
        <w:noProof/>
        <w:sz w:val="14"/>
      </w:rPr>
      <w:t>3</w:t>
    </w:r>
    <w:r w:rsidR="000F7056">
      <w:rPr>
        <w:rFonts w:cs="Arial"/>
        <w:b/>
        <w:sz w:val="16"/>
      </w:rPr>
      <w:fldChar w:fldCharType="end"/>
    </w:r>
    <w:r>
      <w:rPr>
        <w:rFonts w:cs="Arial"/>
        <w:sz w:val="14"/>
      </w:rPr>
      <w:t xml:space="preserve"> of </w:t>
    </w:r>
    <w:r w:rsidR="000F7056">
      <w:rPr>
        <w:rFonts w:cs="Arial"/>
        <w:b/>
        <w:sz w:val="16"/>
      </w:rPr>
      <w:fldChar w:fldCharType="begin"/>
    </w:r>
    <w:r>
      <w:rPr>
        <w:rFonts w:cs="Arial"/>
        <w:b/>
        <w:sz w:val="14"/>
      </w:rPr>
      <w:instrText xml:space="preserve"> NUMPAGES  </w:instrText>
    </w:r>
    <w:r w:rsidR="000F7056">
      <w:rPr>
        <w:rFonts w:cs="Arial"/>
        <w:b/>
        <w:sz w:val="16"/>
      </w:rPr>
      <w:fldChar w:fldCharType="separate"/>
    </w:r>
    <w:r w:rsidR="00B1072D">
      <w:rPr>
        <w:rFonts w:cs="Arial"/>
        <w:b/>
        <w:noProof/>
        <w:sz w:val="14"/>
      </w:rPr>
      <w:t>4</w:t>
    </w:r>
    <w:r w:rsidR="000F7056">
      <w:rPr>
        <w:rFonts w:cs="Arial"/>
        <w:b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A2E" w:rsidRDefault="00BA6A2E">
    <w:pPr>
      <w:pStyle w:val="Footer"/>
      <w:pBdr>
        <w:top w:val="single" w:sz="4" w:space="1" w:color="auto"/>
      </w:pBdr>
      <w:rPr>
        <w:rStyle w:val="PageNumber"/>
        <w:sz w:val="20"/>
      </w:rPr>
    </w:pPr>
  </w:p>
  <w:p w:rsidR="00BA6A2E" w:rsidRPr="00E77E23" w:rsidRDefault="00BA6A2E" w:rsidP="006E5F45">
    <w:pPr>
      <w:pStyle w:val="AHPRAfirstpagefooter"/>
    </w:pPr>
    <w:r w:rsidRPr="00E77E23">
      <w:t xml:space="preserve">Australian </w:t>
    </w:r>
    <w:r w:rsidRPr="00E77E23">
      <w:rPr>
        <w:color w:val="007DC3"/>
      </w:rPr>
      <w:t>Health Practitioner</w:t>
    </w:r>
    <w:r w:rsidRPr="00E77E23">
      <w:t xml:space="preserve"> Regulation Agency</w:t>
    </w:r>
  </w:p>
  <w:p w:rsidR="00BA6A2E" w:rsidRPr="009B04D4" w:rsidRDefault="00BA6A2E" w:rsidP="006E5F45">
    <w:pPr>
      <w:pStyle w:val="AHPRAfooter"/>
      <w:jc w:val="center"/>
    </w:pPr>
    <w:r w:rsidRPr="00AD312E">
      <w:t xml:space="preserve">G.P.O. Box 9958   </w:t>
    </w:r>
    <w:r w:rsidRPr="00E77E23">
      <w:rPr>
        <w:b/>
        <w:color w:val="007DC3"/>
        <w:szCs w:val="28"/>
      </w:rPr>
      <w:t>|</w:t>
    </w:r>
    <w:r w:rsidRPr="00AD312E">
      <w:t xml:space="preserve">   Melbourne VIC 3001   </w:t>
    </w:r>
    <w:r w:rsidRPr="00E77E23">
      <w:rPr>
        <w:b/>
        <w:color w:val="007DC3"/>
        <w:szCs w:val="28"/>
      </w:rPr>
      <w:t>|</w:t>
    </w:r>
    <w:r w:rsidRPr="00AD312E">
      <w:t xml:space="preserve">   www.ahpra.gov.au</w:t>
    </w:r>
  </w:p>
  <w:p w:rsidR="00BA6A2E" w:rsidRPr="006E5F45" w:rsidRDefault="00BA6A2E" w:rsidP="006E5F45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A2E" w:rsidRDefault="00BA6A2E">
      <w:r>
        <w:separator/>
      </w:r>
    </w:p>
  </w:footnote>
  <w:footnote w:type="continuationSeparator" w:id="0">
    <w:p w:rsidR="00BA6A2E" w:rsidRDefault="00BA6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A2E" w:rsidRDefault="00BA6A2E" w:rsidP="00ED73C8">
    <w:pPr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4010025</wp:posOffset>
          </wp:positionH>
          <wp:positionV relativeFrom="paragraph">
            <wp:posOffset>-126365</wp:posOffset>
          </wp:positionV>
          <wp:extent cx="2047875" cy="1276350"/>
          <wp:effectExtent l="0" t="0" r="0" b="0"/>
          <wp:wrapTight wrapText="bothSides">
            <wp:wrapPolygon edited="0">
              <wp:start x="0" y="0"/>
              <wp:lineTo x="0" y="21278"/>
              <wp:lineTo x="21500" y="21278"/>
              <wp:lineTo x="21500" y="0"/>
              <wp:lineTo x="0" y="0"/>
            </wp:wrapPolygon>
          </wp:wrapTight>
          <wp:docPr id="2" name="Picture 1" descr="Pharmacy Board of Australia and The Australian Health Practitioner Regulation Agency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eerkat\AHPRA_Human_Resources\Corporate Human Resources - Board Appointments\Administration\Communication Resources\Board Logos\PHARM AHPRA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276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A6A2E" w:rsidRDefault="00BA6A2E">
    <w:pPr>
      <w:jc w:val="right"/>
      <w:rPr>
        <w:noProof/>
      </w:rPr>
    </w:pPr>
  </w:p>
  <w:p w:rsidR="00BA6A2E" w:rsidRDefault="00BA6A2E">
    <w:pPr>
      <w:jc w:val="right"/>
      <w:rPr>
        <w:noProof/>
      </w:rPr>
    </w:pPr>
  </w:p>
  <w:p w:rsidR="00BA6A2E" w:rsidRDefault="00BA6A2E">
    <w:pPr>
      <w:jc w:val="right"/>
      <w:rPr>
        <w:noProof/>
      </w:rPr>
    </w:pPr>
  </w:p>
  <w:p w:rsidR="00BA6A2E" w:rsidRDefault="00BA6A2E">
    <w:pPr>
      <w:jc w:val="right"/>
      <w:rPr>
        <w:noProof/>
      </w:rPr>
    </w:pPr>
  </w:p>
  <w:p w:rsidR="00BA6A2E" w:rsidRDefault="00BA6A2E">
    <w:pPr>
      <w:jc w:val="right"/>
      <w:rPr>
        <w:noProof/>
      </w:rPr>
    </w:pPr>
  </w:p>
  <w:p w:rsidR="00BA6A2E" w:rsidRDefault="00BA6A2E">
    <w:pPr>
      <w:jc w:val="right"/>
      <w:rPr>
        <w:noProof/>
      </w:rPr>
    </w:pPr>
  </w:p>
  <w:p w:rsidR="00BA6A2E" w:rsidRDefault="00BA6A2E">
    <w:pPr>
      <w:jc w:val="right"/>
      <w:rPr>
        <w:noProof/>
      </w:rPr>
    </w:pPr>
  </w:p>
  <w:p w:rsidR="00BA6A2E" w:rsidRDefault="00BA6A2E">
    <w:pPr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75E3B"/>
    <w:multiLevelType w:val="hybridMultilevel"/>
    <w:tmpl w:val="A3F8E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36782"/>
    <w:multiLevelType w:val="hybridMultilevel"/>
    <w:tmpl w:val="09FC86AC"/>
    <w:lvl w:ilvl="0" w:tplc="D07CC10E">
      <w:start w:val="1"/>
      <w:numFmt w:val="bullet"/>
      <w:pStyle w:val="Style1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F1247D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EE443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F00D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7852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5900C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8C50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DE3B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1A7F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46134"/>
    <w:multiLevelType w:val="hybridMultilevel"/>
    <w:tmpl w:val="F11EB44E"/>
    <w:lvl w:ilvl="0" w:tplc="C2D4F2F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3A8860E" w:tentative="1">
      <w:start w:val="1"/>
      <w:numFmt w:val="lowerLetter"/>
      <w:lvlText w:val="%2."/>
      <w:lvlJc w:val="left"/>
      <w:pPr>
        <w:ind w:left="1800" w:hanging="360"/>
      </w:pPr>
    </w:lvl>
    <w:lvl w:ilvl="2" w:tplc="4ECA1600" w:tentative="1">
      <w:start w:val="1"/>
      <w:numFmt w:val="lowerRoman"/>
      <w:lvlText w:val="%3."/>
      <w:lvlJc w:val="right"/>
      <w:pPr>
        <w:ind w:left="2520" w:hanging="180"/>
      </w:pPr>
    </w:lvl>
    <w:lvl w:ilvl="3" w:tplc="419093FE" w:tentative="1">
      <w:start w:val="1"/>
      <w:numFmt w:val="decimal"/>
      <w:lvlText w:val="%4."/>
      <w:lvlJc w:val="left"/>
      <w:pPr>
        <w:ind w:left="3240" w:hanging="360"/>
      </w:pPr>
    </w:lvl>
    <w:lvl w:ilvl="4" w:tplc="DB06FC56" w:tentative="1">
      <w:start w:val="1"/>
      <w:numFmt w:val="lowerLetter"/>
      <w:lvlText w:val="%5."/>
      <w:lvlJc w:val="left"/>
      <w:pPr>
        <w:ind w:left="3960" w:hanging="360"/>
      </w:pPr>
    </w:lvl>
    <w:lvl w:ilvl="5" w:tplc="1292D730" w:tentative="1">
      <w:start w:val="1"/>
      <w:numFmt w:val="lowerRoman"/>
      <w:lvlText w:val="%6."/>
      <w:lvlJc w:val="right"/>
      <w:pPr>
        <w:ind w:left="4680" w:hanging="180"/>
      </w:pPr>
    </w:lvl>
    <w:lvl w:ilvl="6" w:tplc="F620C586" w:tentative="1">
      <w:start w:val="1"/>
      <w:numFmt w:val="decimal"/>
      <w:lvlText w:val="%7."/>
      <w:lvlJc w:val="left"/>
      <w:pPr>
        <w:ind w:left="5400" w:hanging="360"/>
      </w:pPr>
    </w:lvl>
    <w:lvl w:ilvl="7" w:tplc="564E5560" w:tentative="1">
      <w:start w:val="1"/>
      <w:numFmt w:val="lowerLetter"/>
      <w:lvlText w:val="%8."/>
      <w:lvlJc w:val="left"/>
      <w:pPr>
        <w:ind w:left="6120" w:hanging="360"/>
      </w:pPr>
    </w:lvl>
    <w:lvl w:ilvl="8" w:tplc="B1C6967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8C50CD"/>
    <w:multiLevelType w:val="multilevel"/>
    <w:tmpl w:val="C4183F12"/>
    <w:styleLink w:val="AHPRANumberedlist"/>
    <w:lvl w:ilvl="0">
      <w:start w:val="1"/>
      <w:numFmt w:val="decimal"/>
      <w:lvlText w:val="%1."/>
      <w:lvlJc w:val="left"/>
      <w:pPr>
        <w:ind w:left="369" w:hanging="369"/>
      </w:pPr>
      <w:rPr>
        <w:rFonts w:ascii="Arial" w:hAnsi="Arial" w:cs="Times New Roman" w:hint="default"/>
        <w:b w:val="0"/>
        <w:bCs/>
        <w:i w:val="0"/>
        <w:dstrike w:val="0"/>
        <w:noProof w:val="0"/>
        <w:color w:val="auto"/>
        <w:spacing w:val="0"/>
        <w:kern w:val="0"/>
        <w:position w:val="0"/>
        <w:sz w:val="2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369" w:firstLine="0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9" w:firstLine="368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476" w:hanging="36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45" w:hanging="36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83" w:hanging="36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2" w:hanging="36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21" w:hanging="369"/>
      </w:pPr>
      <w:rPr>
        <w:rFonts w:hint="default"/>
      </w:rPr>
    </w:lvl>
  </w:abstractNum>
  <w:abstractNum w:abstractNumId="4" w15:restartNumberingAfterBreak="0">
    <w:nsid w:val="0D977EC6"/>
    <w:multiLevelType w:val="hybridMultilevel"/>
    <w:tmpl w:val="88E42862"/>
    <w:lvl w:ilvl="0" w:tplc="0C09000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003435"/>
    <w:multiLevelType w:val="singleLevel"/>
    <w:tmpl w:val="837E0DAE"/>
    <w:lvl w:ilvl="0">
      <w:start w:val="1"/>
      <w:numFmt w:val="decimal"/>
      <w:pStyle w:val="AHPRANumberedlistlevel3"/>
      <w:lvlText w:val="(%1)"/>
      <w:lvlJc w:val="left"/>
      <w:pPr>
        <w:ind w:left="369" w:hanging="369"/>
      </w:pPr>
      <w:rPr>
        <w:rFonts w:hint="default"/>
        <w:b w:val="0"/>
        <w:bCs/>
        <w:i w:val="0"/>
        <w:dstrike w:val="0"/>
        <w:noProof w:val="0"/>
        <w:color w:val="auto"/>
        <w:spacing w:val="0"/>
        <w:kern w:val="0"/>
        <w:position w:val="0"/>
        <w:sz w:val="20"/>
        <w:u w:val="none"/>
        <w:vertAlign w:val="baseline"/>
        <w:em w:val="none"/>
      </w:rPr>
    </w:lvl>
  </w:abstractNum>
  <w:abstractNum w:abstractNumId="6" w15:restartNumberingAfterBreak="0">
    <w:nsid w:val="17C34B2E"/>
    <w:multiLevelType w:val="hybridMultilevel"/>
    <w:tmpl w:val="CB74B45A"/>
    <w:lvl w:ilvl="0" w:tplc="2D5EC04A">
      <w:start w:val="1"/>
      <w:numFmt w:val="decimal"/>
      <w:lvlText w:val="%1."/>
      <w:lvlJc w:val="left"/>
      <w:pPr>
        <w:ind w:left="720" w:hanging="360"/>
      </w:pPr>
    </w:lvl>
    <w:lvl w:ilvl="1" w:tplc="53287798">
      <w:start w:val="1"/>
      <w:numFmt w:val="lowerLetter"/>
      <w:lvlText w:val="%2."/>
      <w:lvlJc w:val="left"/>
      <w:pPr>
        <w:ind w:left="1440" w:hanging="360"/>
      </w:pPr>
    </w:lvl>
    <w:lvl w:ilvl="2" w:tplc="6F78C0EA" w:tentative="1">
      <w:start w:val="1"/>
      <w:numFmt w:val="lowerRoman"/>
      <w:lvlText w:val="%3."/>
      <w:lvlJc w:val="right"/>
      <w:pPr>
        <w:ind w:left="2160" w:hanging="180"/>
      </w:pPr>
    </w:lvl>
    <w:lvl w:ilvl="3" w:tplc="46F46ACE" w:tentative="1">
      <w:start w:val="1"/>
      <w:numFmt w:val="decimal"/>
      <w:lvlText w:val="%4."/>
      <w:lvlJc w:val="left"/>
      <w:pPr>
        <w:ind w:left="2880" w:hanging="360"/>
      </w:pPr>
    </w:lvl>
    <w:lvl w:ilvl="4" w:tplc="CBB477AC" w:tentative="1">
      <w:start w:val="1"/>
      <w:numFmt w:val="lowerLetter"/>
      <w:lvlText w:val="%5."/>
      <w:lvlJc w:val="left"/>
      <w:pPr>
        <w:ind w:left="3600" w:hanging="360"/>
      </w:pPr>
    </w:lvl>
    <w:lvl w:ilvl="5" w:tplc="8690CB9A" w:tentative="1">
      <w:start w:val="1"/>
      <w:numFmt w:val="lowerRoman"/>
      <w:lvlText w:val="%6."/>
      <w:lvlJc w:val="right"/>
      <w:pPr>
        <w:ind w:left="4320" w:hanging="180"/>
      </w:pPr>
    </w:lvl>
    <w:lvl w:ilvl="6" w:tplc="6B3A002E" w:tentative="1">
      <w:start w:val="1"/>
      <w:numFmt w:val="decimal"/>
      <w:lvlText w:val="%7."/>
      <w:lvlJc w:val="left"/>
      <w:pPr>
        <w:ind w:left="5040" w:hanging="360"/>
      </w:pPr>
    </w:lvl>
    <w:lvl w:ilvl="7" w:tplc="2278AC52" w:tentative="1">
      <w:start w:val="1"/>
      <w:numFmt w:val="lowerLetter"/>
      <w:lvlText w:val="%8."/>
      <w:lvlJc w:val="left"/>
      <w:pPr>
        <w:ind w:left="5760" w:hanging="360"/>
      </w:pPr>
    </w:lvl>
    <w:lvl w:ilvl="8" w:tplc="71261C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66B7B"/>
    <w:multiLevelType w:val="hybridMultilevel"/>
    <w:tmpl w:val="24122E86"/>
    <w:lvl w:ilvl="0" w:tplc="0C09000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C6436"/>
    <w:multiLevelType w:val="hybridMultilevel"/>
    <w:tmpl w:val="F11EB44E"/>
    <w:lvl w:ilvl="0" w:tplc="837E0DA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725C0F"/>
    <w:multiLevelType w:val="hybridMultilevel"/>
    <w:tmpl w:val="06A68FBC"/>
    <w:lvl w:ilvl="0" w:tplc="CD083C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95411"/>
    <w:multiLevelType w:val="hybridMultilevel"/>
    <w:tmpl w:val="88E42862"/>
    <w:lvl w:ilvl="0" w:tplc="0C09000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803E3D"/>
    <w:multiLevelType w:val="hybridMultilevel"/>
    <w:tmpl w:val="24122E86"/>
    <w:lvl w:ilvl="0" w:tplc="04090001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B5837"/>
    <w:multiLevelType w:val="hybridMultilevel"/>
    <w:tmpl w:val="2FDC5862"/>
    <w:lvl w:ilvl="0" w:tplc="837E0DAE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C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E7EC1"/>
    <w:multiLevelType w:val="hybridMultilevel"/>
    <w:tmpl w:val="B07E546A"/>
    <w:lvl w:ilvl="0" w:tplc="19C2AE0A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789" w:hanging="360"/>
      </w:pPr>
    </w:lvl>
    <w:lvl w:ilvl="2" w:tplc="04090005" w:tentative="1">
      <w:start w:val="1"/>
      <w:numFmt w:val="lowerRoman"/>
      <w:lvlText w:val="%3."/>
      <w:lvlJc w:val="right"/>
      <w:pPr>
        <w:ind w:left="2509" w:hanging="180"/>
      </w:pPr>
    </w:lvl>
    <w:lvl w:ilvl="3" w:tplc="04090001" w:tentative="1">
      <w:start w:val="1"/>
      <w:numFmt w:val="decimal"/>
      <w:lvlText w:val="%4."/>
      <w:lvlJc w:val="left"/>
      <w:pPr>
        <w:ind w:left="3229" w:hanging="360"/>
      </w:pPr>
    </w:lvl>
    <w:lvl w:ilvl="4" w:tplc="04090003" w:tentative="1">
      <w:start w:val="1"/>
      <w:numFmt w:val="lowerLetter"/>
      <w:lvlText w:val="%5."/>
      <w:lvlJc w:val="left"/>
      <w:pPr>
        <w:ind w:left="3949" w:hanging="360"/>
      </w:pPr>
    </w:lvl>
    <w:lvl w:ilvl="5" w:tplc="04090005" w:tentative="1">
      <w:start w:val="1"/>
      <w:numFmt w:val="lowerRoman"/>
      <w:lvlText w:val="%6."/>
      <w:lvlJc w:val="right"/>
      <w:pPr>
        <w:ind w:left="4669" w:hanging="180"/>
      </w:pPr>
    </w:lvl>
    <w:lvl w:ilvl="6" w:tplc="04090001" w:tentative="1">
      <w:start w:val="1"/>
      <w:numFmt w:val="decimal"/>
      <w:lvlText w:val="%7."/>
      <w:lvlJc w:val="left"/>
      <w:pPr>
        <w:ind w:left="5389" w:hanging="360"/>
      </w:pPr>
    </w:lvl>
    <w:lvl w:ilvl="7" w:tplc="04090003" w:tentative="1">
      <w:start w:val="1"/>
      <w:numFmt w:val="lowerLetter"/>
      <w:lvlText w:val="%8."/>
      <w:lvlJc w:val="left"/>
      <w:pPr>
        <w:ind w:left="6109" w:hanging="360"/>
      </w:pPr>
    </w:lvl>
    <w:lvl w:ilvl="8" w:tplc="040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192FC6"/>
    <w:multiLevelType w:val="hybridMultilevel"/>
    <w:tmpl w:val="068A29CC"/>
    <w:lvl w:ilvl="0" w:tplc="1C7C09C8">
      <w:start w:val="1"/>
      <w:numFmt w:val="bullet"/>
      <w:pStyle w:val="AHPRA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E1B96"/>
    <w:multiLevelType w:val="hybridMultilevel"/>
    <w:tmpl w:val="FFBA1A04"/>
    <w:lvl w:ilvl="0" w:tplc="BBCC2522">
      <w:start w:val="1"/>
      <w:numFmt w:val="decimal"/>
      <w:lvlText w:val="%1."/>
      <w:lvlJc w:val="left"/>
      <w:pPr>
        <w:ind w:left="1615" w:hanging="360"/>
      </w:pPr>
    </w:lvl>
    <w:lvl w:ilvl="1" w:tplc="04090003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plc="04090005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09000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90003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090005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09000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90003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090005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16" w15:restartNumberingAfterBreak="0">
    <w:nsid w:val="4D24114D"/>
    <w:multiLevelType w:val="hybridMultilevel"/>
    <w:tmpl w:val="D51EA014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72632"/>
    <w:multiLevelType w:val="hybridMultilevel"/>
    <w:tmpl w:val="46FA5F52"/>
    <w:lvl w:ilvl="0" w:tplc="BBCC252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BE0204"/>
    <w:multiLevelType w:val="hybridMultilevel"/>
    <w:tmpl w:val="CB74B45A"/>
    <w:lvl w:ilvl="0" w:tplc="AD3C6818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65760"/>
    <w:multiLevelType w:val="hybridMultilevel"/>
    <w:tmpl w:val="E78A2F68"/>
    <w:lvl w:ilvl="0" w:tplc="978EC21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3AF255F"/>
    <w:multiLevelType w:val="hybridMultilevel"/>
    <w:tmpl w:val="CB74B45A"/>
    <w:lvl w:ilvl="0" w:tplc="AD3C6818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336A4"/>
    <w:multiLevelType w:val="hybridMultilevel"/>
    <w:tmpl w:val="DABE67A6"/>
    <w:lvl w:ilvl="0" w:tplc="0C09000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BB2D0C"/>
    <w:multiLevelType w:val="hybridMultilevel"/>
    <w:tmpl w:val="F11EB44E"/>
    <w:lvl w:ilvl="0" w:tplc="0C09000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D0737B"/>
    <w:multiLevelType w:val="hybridMultilevel"/>
    <w:tmpl w:val="3C027D26"/>
    <w:lvl w:ilvl="0" w:tplc="CD083CC6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  <w:color w:val="60605B"/>
      </w:rPr>
    </w:lvl>
    <w:lvl w:ilvl="1" w:tplc="0C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9F2ACF"/>
    <w:multiLevelType w:val="multilevel"/>
    <w:tmpl w:val="C6763856"/>
    <w:styleLink w:val="AHPRAlist"/>
    <w:lvl w:ilvl="0">
      <w:start w:val="1"/>
      <w:numFmt w:val="decimal"/>
      <w:pStyle w:val="AHPRAnumberedsubheadinglevel1"/>
      <w:lvlText w:val="%1"/>
      <w:lvlJc w:val="left"/>
      <w:pPr>
        <w:ind w:left="284" w:hanging="284"/>
      </w:pPr>
      <w:rPr>
        <w:rFonts w:ascii="Arial" w:hAnsi="Arial" w:hint="default"/>
        <w:b/>
        <w:color w:val="008EC4"/>
        <w:sz w:val="20"/>
      </w:rPr>
    </w:lvl>
    <w:lvl w:ilvl="1">
      <w:start w:val="1"/>
      <w:numFmt w:val="decimal"/>
      <w:pStyle w:val="AHPRAnumberedbulletpoint"/>
      <w:lvlText w:val="%1.%2"/>
      <w:lvlJc w:val="left"/>
      <w:pPr>
        <w:ind w:left="851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1701" w:hanging="85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(%4)"/>
      <w:lvlJc w:val="left"/>
      <w:pPr>
        <w:ind w:left="3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60" w:hanging="360"/>
      </w:pPr>
      <w:rPr>
        <w:rFonts w:hint="default"/>
      </w:rPr>
    </w:lvl>
  </w:abstractNum>
  <w:abstractNum w:abstractNumId="25" w15:restartNumberingAfterBreak="0">
    <w:nsid w:val="6FAE4788"/>
    <w:multiLevelType w:val="hybridMultilevel"/>
    <w:tmpl w:val="73F04DEA"/>
    <w:lvl w:ilvl="0" w:tplc="FB081F7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3FCEBC4" w:tentative="1">
      <w:start w:val="1"/>
      <w:numFmt w:val="lowerLetter"/>
      <w:lvlText w:val="%2."/>
      <w:lvlJc w:val="left"/>
      <w:pPr>
        <w:ind w:left="1800" w:hanging="360"/>
      </w:pPr>
    </w:lvl>
    <w:lvl w:ilvl="2" w:tplc="44221C30" w:tentative="1">
      <w:start w:val="1"/>
      <w:numFmt w:val="lowerRoman"/>
      <w:lvlText w:val="%3."/>
      <w:lvlJc w:val="right"/>
      <w:pPr>
        <w:ind w:left="2520" w:hanging="180"/>
      </w:pPr>
    </w:lvl>
    <w:lvl w:ilvl="3" w:tplc="E52A0698" w:tentative="1">
      <w:start w:val="1"/>
      <w:numFmt w:val="decimal"/>
      <w:lvlText w:val="%4."/>
      <w:lvlJc w:val="left"/>
      <w:pPr>
        <w:ind w:left="3240" w:hanging="360"/>
      </w:pPr>
    </w:lvl>
    <w:lvl w:ilvl="4" w:tplc="6FE4F822" w:tentative="1">
      <w:start w:val="1"/>
      <w:numFmt w:val="lowerLetter"/>
      <w:lvlText w:val="%5."/>
      <w:lvlJc w:val="left"/>
      <w:pPr>
        <w:ind w:left="3960" w:hanging="360"/>
      </w:pPr>
    </w:lvl>
    <w:lvl w:ilvl="5" w:tplc="B484DF4A" w:tentative="1">
      <w:start w:val="1"/>
      <w:numFmt w:val="lowerRoman"/>
      <w:lvlText w:val="%6."/>
      <w:lvlJc w:val="right"/>
      <w:pPr>
        <w:ind w:left="4680" w:hanging="180"/>
      </w:pPr>
    </w:lvl>
    <w:lvl w:ilvl="6" w:tplc="9EA6AD5E" w:tentative="1">
      <w:start w:val="1"/>
      <w:numFmt w:val="decimal"/>
      <w:lvlText w:val="%7."/>
      <w:lvlJc w:val="left"/>
      <w:pPr>
        <w:ind w:left="5400" w:hanging="360"/>
      </w:pPr>
    </w:lvl>
    <w:lvl w:ilvl="7" w:tplc="9F3C47EA" w:tentative="1">
      <w:start w:val="1"/>
      <w:numFmt w:val="lowerLetter"/>
      <w:lvlText w:val="%8."/>
      <w:lvlJc w:val="left"/>
      <w:pPr>
        <w:ind w:left="6120" w:hanging="360"/>
      </w:pPr>
    </w:lvl>
    <w:lvl w:ilvl="8" w:tplc="49B0448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6212547"/>
    <w:multiLevelType w:val="hybridMultilevel"/>
    <w:tmpl w:val="3942F0EA"/>
    <w:lvl w:ilvl="0" w:tplc="973EB0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75F70"/>
    <w:multiLevelType w:val="hybridMultilevel"/>
    <w:tmpl w:val="0BE47D2C"/>
    <w:lvl w:ilvl="0" w:tplc="88C8D920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1" w:tplc="040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3"/>
  </w:num>
  <w:num w:numId="4">
    <w:abstractNumId w:val="7"/>
  </w:num>
  <w:num w:numId="5">
    <w:abstractNumId w:val="11"/>
  </w:num>
  <w:num w:numId="6">
    <w:abstractNumId w:val="25"/>
  </w:num>
  <w:num w:numId="7">
    <w:abstractNumId w:val="19"/>
  </w:num>
  <w:num w:numId="8">
    <w:abstractNumId w:val="2"/>
  </w:num>
  <w:num w:numId="9">
    <w:abstractNumId w:val="22"/>
  </w:num>
  <w:num w:numId="10">
    <w:abstractNumId w:val="8"/>
  </w:num>
  <w:num w:numId="11">
    <w:abstractNumId w:val="14"/>
  </w:num>
  <w:num w:numId="12">
    <w:abstractNumId w:val="20"/>
  </w:num>
  <w:num w:numId="13">
    <w:abstractNumId w:val="16"/>
  </w:num>
  <w:num w:numId="14">
    <w:abstractNumId w:val="6"/>
  </w:num>
  <w:num w:numId="15">
    <w:abstractNumId w:val="26"/>
  </w:num>
  <w:num w:numId="16">
    <w:abstractNumId w:val="9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15"/>
  </w:num>
  <w:num w:numId="20">
    <w:abstractNumId w:val="12"/>
  </w:num>
  <w:num w:numId="21">
    <w:abstractNumId w:val="27"/>
  </w:num>
  <w:num w:numId="22">
    <w:abstractNumId w:val="0"/>
  </w:num>
  <w:num w:numId="23">
    <w:abstractNumId w:val="3"/>
  </w:num>
  <w:num w:numId="24">
    <w:abstractNumId w:val="24"/>
    <w:lvlOverride w:ilvl="0">
      <w:lvl w:ilvl="0">
        <w:start w:val="1"/>
        <w:numFmt w:val="decimal"/>
        <w:pStyle w:val="AHPRAnumberedsubheadinglevel1"/>
        <w:lvlText w:val="%1"/>
        <w:lvlJc w:val="left"/>
        <w:pPr>
          <w:ind w:left="284" w:hanging="284"/>
        </w:pPr>
        <w:rPr>
          <w:rFonts w:ascii="Arial" w:hAnsi="Arial" w:hint="default"/>
          <w:b w:val="0"/>
          <w:color w:val="auto"/>
          <w:sz w:val="20"/>
        </w:rPr>
      </w:lvl>
    </w:lvlOverride>
    <w:lvlOverride w:ilvl="1">
      <w:lvl w:ilvl="1">
        <w:start w:val="1"/>
        <w:numFmt w:val="decimal"/>
        <w:pStyle w:val="AHPRAnumberedbulletpoint"/>
        <w:lvlText w:val="%1.%2"/>
        <w:lvlJc w:val="left"/>
        <w:pPr>
          <w:ind w:left="851" w:hanging="567"/>
        </w:pPr>
        <w:rPr>
          <w:rFonts w:ascii="Arial" w:hAnsi="Arial" w:hint="default"/>
          <w:b w:val="0"/>
          <w:i w:val="0"/>
          <w:color w:val="auto"/>
          <w:sz w:val="2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701" w:hanging="850"/>
        </w:pPr>
        <w:rPr>
          <w:rFonts w:ascii="Arial" w:hAnsi="Arial" w:hint="default"/>
          <w:b w:val="0"/>
          <w:i w:val="0"/>
          <w:color w:val="auto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316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35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88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6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960" w:hanging="360"/>
        </w:pPr>
        <w:rPr>
          <w:rFonts w:hint="default"/>
        </w:rPr>
      </w:lvl>
    </w:lvlOverride>
  </w:num>
  <w:num w:numId="25">
    <w:abstractNumId w:val="24"/>
  </w:num>
  <w:num w:numId="26">
    <w:abstractNumId w:val="5"/>
  </w:num>
  <w:num w:numId="27">
    <w:abstractNumId w:val="21"/>
  </w:num>
  <w:num w:numId="28">
    <w:abstractNumId w:val="10"/>
  </w:num>
  <w:num w:numId="29">
    <w:abstractNumId w:val="24"/>
    <w:lvlOverride w:ilvl="0">
      <w:lvl w:ilvl="0">
        <w:start w:val="1"/>
        <w:numFmt w:val="decimal"/>
        <w:pStyle w:val="AHPRAnumberedsubheadinglevel1"/>
        <w:lvlText w:val="%1"/>
        <w:lvlJc w:val="left"/>
        <w:pPr>
          <w:ind w:left="284" w:hanging="284"/>
        </w:pPr>
        <w:rPr>
          <w:rFonts w:ascii="Arial" w:hAnsi="Arial" w:hint="default"/>
          <w:b w:val="0"/>
          <w:color w:val="auto"/>
          <w:sz w:val="20"/>
        </w:rPr>
      </w:lvl>
    </w:lvlOverride>
    <w:lvlOverride w:ilvl="1">
      <w:lvl w:ilvl="1">
        <w:start w:val="1"/>
        <w:numFmt w:val="decimal"/>
        <w:pStyle w:val="AHPRAnumberedbulletpoint"/>
        <w:lvlText w:val="%1.%2"/>
        <w:lvlJc w:val="left"/>
        <w:pPr>
          <w:ind w:left="851" w:hanging="567"/>
        </w:pPr>
        <w:rPr>
          <w:rFonts w:ascii="Arial" w:hAnsi="Arial" w:hint="default"/>
          <w:b w:val="0"/>
          <w:i w:val="0"/>
          <w:color w:val="auto"/>
          <w:sz w:val="2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701" w:hanging="850"/>
        </w:pPr>
        <w:rPr>
          <w:rFonts w:ascii="Arial" w:hAnsi="Arial" w:hint="default"/>
          <w:b w:val="0"/>
          <w:i w:val="0"/>
          <w:color w:val="auto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316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35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88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6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960" w:hanging="360"/>
        </w:pPr>
        <w:rPr>
          <w:rFonts w:hint="default"/>
        </w:rPr>
      </w:lvl>
    </w:lvlOverride>
  </w:num>
  <w:num w:numId="30">
    <w:abstractNumId w:val="4"/>
  </w:num>
  <w:num w:numId="31">
    <w:abstractNumId w:val="24"/>
    <w:lvlOverride w:ilvl="0">
      <w:lvl w:ilvl="0">
        <w:start w:val="1"/>
        <w:numFmt w:val="decimal"/>
        <w:pStyle w:val="AHPRAnumberedsubheadinglevel1"/>
        <w:lvlText w:val="%1"/>
        <w:lvlJc w:val="left"/>
        <w:pPr>
          <w:ind w:left="284" w:hanging="284"/>
        </w:pPr>
        <w:rPr>
          <w:rFonts w:ascii="Arial" w:hAnsi="Arial" w:hint="default"/>
          <w:b w:val="0"/>
          <w:color w:val="auto"/>
          <w:sz w:val="20"/>
        </w:rPr>
      </w:lvl>
    </w:lvlOverride>
    <w:lvlOverride w:ilvl="1">
      <w:lvl w:ilvl="1">
        <w:start w:val="1"/>
        <w:numFmt w:val="decimal"/>
        <w:pStyle w:val="AHPRAnumberedbulletpoint"/>
        <w:lvlText w:val="%1.%2"/>
        <w:lvlJc w:val="left"/>
        <w:pPr>
          <w:ind w:left="851" w:hanging="567"/>
        </w:pPr>
        <w:rPr>
          <w:rFonts w:ascii="Arial" w:hAnsi="Arial" w:hint="default"/>
          <w:b w:val="0"/>
          <w:i w:val="0"/>
          <w:color w:val="auto"/>
          <w:sz w:val="2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701" w:hanging="850"/>
        </w:pPr>
        <w:rPr>
          <w:rFonts w:ascii="Arial" w:hAnsi="Arial" w:hint="default"/>
          <w:b w:val="0"/>
          <w:i w:val="0"/>
          <w:color w:val="auto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316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35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88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6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960" w:hanging="360"/>
        </w:pPr>
        <w:rPr>
          <w:rFonts w:hint="default"/>
        </w:rPr>
      </w:lvl>
    </w:lvlOverride>
  </w:num>
  <w:num w:numId="32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cumentProtection w:edit="forms" w:enforcement="0"/>
  <w:defaultTabStop w:val="720"/>
  <w:drawingGridHorizontalSpacing w:val="100"/>
  <w:displayHorizontalDrawingGridEvery w:val="2"/>
  <w:doNotShadeFormData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013D"/>
    <w:rsid w:val="00013EAA"/>
    <w:rsid w:val="00025164"/>
    <w:rsid w:val="000322A8"/>
    <w:rsid w:val="00034285"/>
    <w:rsid w:val="0003716E"/>
    <w:rsid w:val="0004174B"/>
    <w:rsid w:val="000466AC"/>
    <w:rsid w:val="00051D7A"/>
    <w:rsid w:val="000578F5"/>
    <w:rsid w:val="000612AD"/>
    <w:rsid w:val="00065796"/>
    <w:rsid w:val="00077AAE"/>
    <w:rsid w:val="00086F85"/>
    <w:rsid w:val="000A4720"/>
    <w:rsid w:val="000B143F"/>
    <w:rsid w:val="000B3B2F"/>
    <w:rsid w:val="000C0EFD"/>
    <w:rsid w:val="000D5B58"/>
    <w:rsid w:val="000D618F"/>
    <w:rsid w:val="000E012A"/>
    <w:rsid w:val="000F7056"/>
    <w:rsid w:val="00102594"/>
    <w:rsid w:val="00112491"/>
    <w:rsid w:val="00114954"/>
    <w:rsid w:val="00114EAE"/>
    <w:rsid w:val="00114F5A"/>
    <w:rsid w:val="001209FD"/>
    <w:rsid w:val="0013163C"/>
    <w:rsid w:val="0013277F"/>
    <w:rsid w:val="00142E66"/>
    <w:rsid w:val="0016016E"/>
    <w:rsid w:val="0016112C"/>
    <w:rsid w:val="00171FDC"/>
    <w:rsid w:val="00184860"/>
    <w:rsid w:val="00187631"/>
    <w:rsid w:val="00190951"/>
    <w:rsid w:val="001A237C"/>
    <w:rsid w:val="001B0A4F"/>
    <w:rsid w:val="001C0893"/>
    <w:rsid w:val="001C7D87"/>
    <w:rsid w:val="001D2EC6"/>
    <w:rsid w:val="001D3077"/>
    <w:rsid w:val="001E1207"/>
    <w:rsid w:val="001E19D2"/>
    <w:rsid w:val="001E594C"/>
    <w:rsid w:val="001F4984"/>
    <w:rsid w:val="001F4AD1"/>
    <w:rsid w:val="001F78A5"/>
    <w:rsid w:val="002030DA"/>
    <w:rsid w:val="0022504F"/>
    <w:rsid w:val="002275AC"/>
    <w:rsid w:val="00234996"/>
    <w:rsid w:val="00240975"/>
    <w:rsid w:val="00242F1A"/>
    <w:rsid w:val="002563D1"/>
    <w:rsid w:val="00256BA9"/>
    <w:rsid w:val="002573EC"/>
    <w:rsid w:val="0026574F"/>
    <w:rsid w:val="002678CB"/>
    <w:rsid w:val="00280A91"/>
    <w:rsid w:val="0028333C"/>
    <w:rsid w:val="00283CE4"/>
    <w:rsid w:val="00283D24"/>
    <w:rsid w:val="00283FD4"/>
    <w:rsid w:val="002864AD"/>
    <w:rsid w:val="002A2CA6"/>
    <w:rsid w:val="002A38D2"/>
    <w:rsid w:val="002A6AF5"/>
    <w:rsid w:val="002A6FB7"/>
    <w:rsid w:val="002B3AD3"/>
    <w:rsid w:val="002D328A"/>
    <w:rsid w:val="002D577E"/>
    <w:rsid w:val="002E6FCB"/>
    <w:rsid w:val="002F0CF7"/>
    <w:rsid w:val="002F15D6"/>
    <w:rsid w:val="002F7090"/>
    <w:rsid w:val="0030112F"/>
    <w:rsid w:val="003014AD"/>
    <w:rsid w:val="00301FFD"/>
    <w:rsid w:val="003020AE"/>
    <w:rsid w:val="0031315C"/>
    <w:rsid w:val="0031738A"/>
    <w:rsid w:val="003250E8"/>
    <w:rsid w:val="00326050"/>
    <w:rsid w:val="003317FD"/>
    <w:rsid w:val="003340A0"/>
    <w:rsid w:val="00356B45"/>
    <w:rsid w:val="00360331"/>
    <w:rsid w:val="00363AB3"/>
    <w:rsid w:val="00365173"/>
    <w:rsid w:val="00373C8D"/>
    <w:rsid w:val="0038207B"/>
    <w:rsid w:val="00383ABC"/>
    <w:rsid w:val="00383FFF"/>
    <w:rsid w:val="003860D8"/>
    <w:rsid w:val="00391303"/>
    <w:rsid w:val="00395EFF"/>
    <w:rsid w:val="003A27A9"/>
    <w:rsid w:val="003C0F0C"/>
    <w:rsid w:val="003D339E"/>
    <w:rsid w:val="004070B9"/>
    <w:rsid w:val="00411DFF"/>
    <w:rsid w:val="00412D83"/>
    <w:rsid w:val="0041373E"/>
    <w:rsid w:val="00414FB4"/>
    <w:rsid w:val="004175ED"/>
    <w:rsid w:val="004226B1"/>
    <w:rsid w:val="00433D6A"/>
    <w:rsid w:val="00440F86"/>
    <w:rsid w:val="0044586B"/>
    <w:rsid w:val="00452E68"/>
    <w:rsid w:val="00453D79"/>
    <w:rsid w:val="0046302B"/>
    <w:rsid w:val="00471F32"/>
    <w:rsid w:val="00473B38"/>
    <w:rsid w:val="00476F08"/>
    <w:rsid w:val="0048006F"/>
    <w:rsid w:val="00482F6D"/>
    <w:rsid w:val="00487520"/>
    <w:rsid w:val="00490984"/>
    <w:rsid w:val="004929CA"/>
    <w:rsid w:val="004A0E02"/>
    <w:rsid w:val="004A6039"/>
    <w:rsid w:val="004C3840"/>
    <w:rsid w:val="004C5A42"/>
    <w:rsid w:val="004D4188"/>
    <w:rsid w:val="004D7161"/>
    <w:rsid w:val="004E1925"/>
    <w:rsid w:val="004E742B"/>
    <w:rsid w:val="004F2DAC"/>
    <w:rsid w:val="004F53E0"/>
    <w:rsid w:val="004F7FE3"/>
    <w:rsid w:val="00504D95"/>
    <w:rsid w:val="00505327"/>
    <w:rsid w:val="00510513"/>
    <w:rsid w:val="00524A07"/>
    <w:rsid w:val="00535524"/>
    <w:rsid w:val="00537485"/>
    <w:rsid w:val="00542657"/>
    <w:rsid w:val="00557297"/>
    <w:rsid w:val="005810B0"/>
    <w:rsid w:val="005826E1"/>
    <w:rsid w:val="005851F0"/>
    <w:rsid w:val="005A2D2B"/>
    <w:rsid w:val="005A7233"/>
    <w:rsid w:val="005B12E1"/>
    <w:rsid w:val="005B642D"/>
    <w:rsid w:val="005B646C"/>
    <w:rsid w:val="005C0105"/>
    <w:rsid w:val="005D3286"/>
    <w:rsid w:val="005E04DB"/>
    <w:rsid w:val="005E6B27"/>
    <w:rsid w:val="005F2ECB"/>
    <w:rsid w:val="005F6135"/>
    <w:rsid w:val="005F61F4"/>
    <w:rsid w:val="005F7415"/>
    <w:rsid w:val="00600BE4"/>
    <w:rsid w:val="00604241"/>
    <w:rsid w:val="00607878"/>
    <w:rsid w:val="00607B84"/>
    <w:rsid w:val="0061618F"/>
    <w:rsid w:val="00631D43"/>
    <w:rsid w:val="006349AF"/>
    <w:rsid w:val="006365D7"/>
    <w:rsid w:val="006369D9"/>
    <w:rsid w:val="00661F5F"/>
    <w:rsid w:val="00677A00"/>
    <w:rsid w:val="00683096"/>
    <w:rsid w:val="00694FEC"/>
    <w:rsid w:val="006A76B7"/>
    <w:rsid w:val="006A783B"/>
    <w:rsid w:val="006B037F"/>
    <w:rsid w:val="006B55B2"/>
    <w:rsid w:val="006C3998"/>
    <w:rsid w:val="006C3B1F"/>
    <w:rsid w:val="006E0D4D"/>
    <w:rsid w:val="006E504E"/>
    <w:rsid w:val="006E55C7"/>
    <w:rsid w:val="006E5F45"/>
    <w:rsid w:val="006E7CD4"/>
    <w:rsid w:val="00705847"/>
    <w:rsid w:val="007058B8"/>
    <w:rsid w:val="00710E9A"/>
    <w:rsid w:val="007129FE"/>
    <w:rsid w:val="00723AE7"/>
    <w:rsid w:val="007254A7"/>
    <w:rsid w:val="0072645F"/>
    <w:rsid w:val="0073764C"/>
    <w:rsid w:val="00745B1D"/>
    <w:rsid w:val="0075718D"/>
    <w:rsid w:val="007654FC"/>
    <w:rsid w:val="007674F8"/>
    <w:rsid w:val="00781D7F"/>
    <w:rsid w:val="007838A4"/>
    <w:rsid w:val="007946BE"/>
    <w:rsid w:val="007A4852"/>
    <w:rsid w:val="007A4E4A"/>
    <w:rsid w:val="007A655A"/>
    <w:rsid w:val="007B1323"/>
    <w:rsid w:val="007B63DA"/>
    <w:rsid w:val="007B69D9"/>
    <w:rsid w:val="007C7C7A"/>
    <w:rsid w:val="007D2FAE"/>
    <w:rsid w:val="007E0A09"/>
    <w:rsid w:val="007F0DF7"/>
    <w:rsid w:val="007F15E5"/>
    <w:rsid w:val="008238C3"/>
    <w:rsid w:val="00842A64"/>
    <w:rsid w:val="00845B03"/>
    <w:rsid w:val="00850379"/>
    <w:rsid w:val="00851FFC"/>
    <w:rsid w:val="00855158"/>
    <w:rsid w:val="00857E14"/>
    <w:rsid w:val="00862AD4"/>
    <w:rsid w:val="008664B2"/>
    <w:rsid w:val="00867904"/>
    <w:rsid w:val="00884562"/>
    <w:rsid w:val="00887E5D"/>
    <w:rsid w:val="0089563B"/>
    <w:rsid w:val="008A15FA"/>
    <w:rsid w:val="008A5156"/>
    <w:rsid w:val="008B18F8"/>
    <w:rsid w:val="008B2CCA"/>
    <w:rsid w:val="008B3397"/>
    <w:rsid w:val="008D1CB0"/>
    <w:rsid w:val="008D56C9"/>
    <w:rsid w:val="008D6A31"/>
    <w:rsid w:val="008E7067"/>
    <w:rsid w:val="008F173D"/>
    <w:rsid w:val="008F3B8E"/>
    <w:rsid w:val="009028C2"/>
    <w:rsid w:val="00903B5D"/>
    <w:rsid w:val="009040A2"/>
    <w:rsid w:val="009103B5"/>
    <w:rsid w:val="00914BCD"/>
    <w:rsid w:val="0092596B"/>
    <w:rsid w:val="009311B0"/>
    <w:rsid w:val="00940AFC"/>
    <w:rsid w:val="00961AAD"/>
    <w:rsid w:val="00975717"/>
    <w:rsid w:val="00982433"/>
    <w:rsid w:val="00982B6F"/>
    <w:rsid w:val="00982D8E"/>
    <w:rsid w:val="0098374D"/>
    <w:rsid w:val="0098456A"/>
    <w:rsid w:val="00987DAC"/>
    <w:rsid w:val="009941F0"/>
    <w:rsid w:val="00997CC8"/>
    <w:rsid w:val="009A7C92"/>
    <w:rsid w:val="009B20E4"/>
    <w:rsid w:val="009B53F4"/>
    <w:rsid w:val="009D2F13"/>
    <w:rsid w:val="009E2397"/>
    <w:rsid w:val="009E4442"/>
    <w:rsid w:val="00A079B0"/>
    <w:rsid w:val="00A278B7"/>
    <w:rsid w:val="00A34E3A"/>
    <w:rsid w:val="00A3597E"/>
    <w:rsid w:val="00A40D21"/>
    <w:rsid w:val="00A50147"/>
    <w:rsid w:val="00A53913"/>
    <w:rsid w:val="00A62749"/>
    <w:rsid w:val="00A73294"/>
    <w:rsid w:val="00A76F7C"/>
    <w:rsid w:val="00A9683E"/>
    <w:rsid w:val="00AB0ABA"/>
    <w:rsid w:val="00AC6F2B"/>
    <w:rsid w:val="00AD3010"/>
    <w:rsid w:val="00AD3519"/>
    <w:rsid w:val="00AD7749"/>
    <w:rsid w:val="00AE3977"/>
    <w:rsid w:val="00AF0462"/>
    <w:rsid w:val="00AF2202"/>
    <w:rsid w:val="00AF3033"/>
    <w:rsid w:val="00AF3C77"/>
    <w:rsid w:val="00AF4549"/>
    <w:rsid w:val="00B018FF"/>
    <w:rsid w:val="00B02B53"/>
    <w:rsid w:val="00B06D24"/>
    <w:rsid w:val="00B1072D"/>
    <w:rsid w:val="00B1173F"/>
    <w:rsid w:val="00B364DE"/>
    <w:rsid w:val="00B372D3"/>
    <w:rsid w:val="00B640FF"/>
    <w:rsid w:val="00B64CBB"/>
    <w:rsid w:val="00B77CDC"/>
    <w:rsid w:val="00B82C30"/>
    <w:rsid w:val="00B836C6"/>
    <w:rsid w:val="00B94140"/>
    <w:rsid w:val="00B96529"/>
    <w:rsid w:val="00BA4B0F"/>
    <w:rsid w:val="00BA6A2E"/>
    <w:rsid w:val="00BB2D7A"/>
    <w:rsid w:val="00BB6F8B"/>
    <w:rsid w:val="00BC7AA1"/>
    <w:rsid w:val="00BD5208"/>
    <w:rsid w:val="00BD7E6A"/>
    <w:rsid w:val="00BE4205"/>
    <w:rsid w:val="00BF3BBB"/>
    <w:rsid w:val="00BF5E71"/>
    <w:rsid w:val="00C0092A"/>
    <w:rsid w:val="00C07553"/>
    <w:rsid w:val="00C139F7"/>
    <w:rsid w:val="00C16196"/>
    <w:rsid w:val="00C2781D"/>
    <w:rsid w:val="00C34791"/>
    <w:rsid w:val="00C410CE"/>
    <w:rsid w:val="00C5308A"/>
    <w:rsid w:val="00C548C3"/>
    <w:rsid w:val="00C6369D"/>
    <w:rsid w:val="00C649E1"/>
    <w:rsid w:val="00C67C5C"/>
    <w:rsid w:val="00C71A84"/>
    <w:rsid w:val="00C7315B"/>
    <w:rsid w:val="00C75C83"/>
    <w:rsid w:val="00C768F9"/>
    <w:rsid w:val="00C97268"/>
    <w:rsid w:val="00CA0F59"/>
    <w:rsid w:val="00CA1617"/>
    <w:rsid w:val="00CA1E60"/>
    <w:rsid w:val="00CA51E5"/>
    <w:rsid w:val="00CC398E"/>
    <w:rsid w:val="00CC5C20"/>
    <w:rsid w:val="00CD3CB4"/>
    <w:rsid w:val="00CF0DC9"/>
    <w:rsid w:val="00CF6743"/>
    <w:rsid w:val="00D15256"/>
    <w:rsid w:val="00D16B5E"/>
    <w:rsid w:val="00D26BD5"/>
    <w:rsid w:val="00D439CA"/>
    <w:rsid w:val="00D463D7"/>
    <w:rsid w:val="00D61FC3"/>
    <w:rsid w:val="00D630A6"/>
    <w:rsid w:val="00D669C0"/>
    <w:rsid w:val="00D66BCA"/>
    <w:rsid w:val="00D71BD7"/>
    <w:rsid w:val="00D815FB"/>
    <w:rsid w:val="00D91950"/>
    <w:rsid w:val="00DA2B00"/>
    <w:rsid w:val="00DC0724"/>
    <w:rsid w:val="00DC0B30"/>
    <w:rsid w:val="00DC4D6F"/>
    <w:rsid w:val="00DC60B3"/>
    <w:rsid w:val="00DC6B56"/>
    <w:rsid w:val="00DC7CF0"/>
    <w:rsid w:val="00DE12A4"/>
    <w:rsid w:val="00DF1BF0"/>
    <w:rsid w:val="00DF1D54"/>
    <w:rsid w:val="00DF3A31"/>
    <w:rsid w:val="00E038BE"/>
    <w:rsid w:val="00E039E3"/>
    <w:rsid w:val="00E04E42"/>
    <w:rsid w:val="00E21F01"/>
    <w:rsid w:val="00E237E6"/>
    <w:rsid w:val="00E25DDC"/>
    <w:rsid w:val="00E271BD"/>
    <w:rsid w:val="00E27979"/>
    <w:rsid w:val="00E31ADD"/>
    <w:rsid w:val="00E54F99"/>
    <w:rsid w:val="00E80855"/>
    <w:rsid w:val="00E83667"/>
    <w:rsid w:val="00E852D4"/>
    <w:rsid w:val="00E94F9D"/>
    <w:rsid w:val="00EA496E"/>
    <w:rsid w:val="00EB44FA"/>
    <w:rsid w:val="00EB5BA5"/>
    <w:rsid w:val="00EB622C"/>
    <w:rsid w:val="00EC757C"/>
    <w:rsid w:val="00ED166F"/>
    <w:rsid w:val="00ED73C8"/>
    <w:rsid w:val="00EE1910"/>
    <w:rsid w:val="00EE1CF7"/>
    <w:rsid w:val="00EF005C"/>
    <w:rsid w:val="00EF131A"/>
    <w:rsid w:val="00EF21C9"/>
    <w:rsid w:val="00EF5937"/>
    <w:rsid w:val="00EF64F7"/>
    <w:rsid w:val="00EF65AA"/>
    <w:rsid w:val="00F007F5"/>
    <w:rsid w:val="00F05896"/>
    <w:rsid w:val="00F15108"/>
    <w:rsid w:val="00F2159B"/>
    <w:rsid w:val="00F22014"/>
    <w:rsid w:val="00F23D1B"/>
    <w:rsid w:val="00F244C0"/>
    <w:rsid w:val="00F26904"/>
    <w:rsid w:val="00F2696C"/>
    <w:rsid w:val="00F34681"/>
    <w:rsid w:val="00F37615"/>
    <w:rsid w:val="00F37D12"/>
    <w:rsid w:val="00F4013D"/>
    <w:rsid w:val="00F40C41"/>
    <w:rsid w:val="00F416F2"/>
    <w:rsid w:val="00F4256A"/>
    <w:rsid w:val="00F53821"/>
    <w:rsid w:val="00F54B13"/>
    <w:rsid w:val="00F603E0"/>
    <w:rsid w:val="00F644DF"/>
    <w:rsid w:val="00F644F2"/>
    <w:rsid w:val="00F64522"/>
    <w:rsid w:val="00F64B1D"/>
    <w:rsid w:val="00F65157"/>
    <w:rsid w:val="00F71D86"/>
    <w:rsid w:val="00F7502C"/>
    <w:rsid w:val="00F8305C"/>
    <w:rsid w:val="00FB0947"/>
    <w:rsid w:val="00FB30F2"/>
    <w:rsid w:val="00FB6AAE"/>
    <w:rsid w:val="00FC1B81"/>
    <w:rsid w:val="00FC58C1"/>
    <w:rsid w:val="00FC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  <o:rules v:ext="edit">
        <o:r id="V:Rule2" type="connector" idref="#_x0000_s1072"/>
      </o:rules>
    </o:shapelayout>
  </w:shapeDefaults>
  <w:decimalSymbol w:val="."/>
  <w:listSeparator w:val=","/>
  <w15:docId w15:val="{B62F384A-D0BB-4A26-A55D-D2C0B87B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mbria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4FC"/>
    <w:rPr>
      <w:szCs w:val="24"/>
      <w:lang w:val="en-AU" w:eastAsia="en-AU"/>
    </w:rPr>
  </w:style>
  <w:style w:type="paragraph" w:styleId="Heading1">
    <w:name w:val="heading 1"/>
    <w:basedOn w:val="Normal"/>
    <w:next w:val="Normal"/>
    <w:qFormat/>
    <w:rsid w:val="007B63DA"/>
    <w:pPr>
      <w:keepNext/>
      <w:keepLines/>
      <w:spacing w:before="200"/>
      <w:outlineLvl w:val="0"/>
    </w:pPr>
    <w:rPr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654F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7654F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uiPriority w:val="1"/>
    <w:semiHidden/>
    <w:unhideWhenUsed/>
    <w:qFormat/>
    <w:rsid w:val="007F0DF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0DF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semiHidden/>
    <w:rsid w:val="007F0DF7"/>
    <w:pPr>
      <w:tabs>
        <w:tab w:val="center" w:pos="4153"/>
        <w:tab w:val="right" w:pos="8306"/>
      </w:tabs>
    </w:pPr>
    <w:rPr>
      <w:sz w:val="24"/>
    </w:rPr>
  </w:style>
  <w:style w:type="character" w:customStyle="1" w:styleId="FooterChar">
    <w:name w:val="Footer Char"/>
    <w:link w:val="Footer"/>
    <w:uiPriority w:val="99"/>
    <w:semiHidden/>
    <w:rsid w:val="008D6A31"/>
    <w:rPr>
      <w:sz w:val="24"/>
      <w:szCs w:val="24"/>
    </w:rPr>
  </w:style>
  <w:style w:type="paragraph" w:customStyle="1" w:styleId="Style1">
    <w:name w:val="Style1"/>
    <w:basedOn w:val="Normal"/>
    <w:rsid w:val="007F0DF7"/>
    <w:pPr>
      <w:numPr>
        <w:numId w:val="1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7F0DF7"/>
    <w:pPr>
      <w:ind w:left="720"/>
    </w:pPr>
    <w:rPr>
      <w:rFonts w:eastAsia="Calibri" w:cs="Arial"/>
      <w:sz w:val="22"/>
      <w:szCs w:val="22"/>
    </w:rPr>
  </w:style>
  <w:style w:type="character" w:styleId="Emphasis">
    <w:name w:val="Emphasis"/>
    <w:rsid w:val="007F0DF7"/>
    <w:rPr>
      <w:i/>
      <w:iCs/>
    </w:rPr>
  </w:style>
  <w:style w:type="character" w:styleId="Hyperlink">
    <w:name w:val="Hyperlink"/>
    <w:uiPriority w:val="99"/>
    <w:rsid w:val="007F0DF7"/>
    <w:rPr>
      <w:color w:val="0000FF"/>
      <w:u w:val="single"/>
    </w:rPr>
  </w:style>
  <w:style w:type="paragraph" w:styleId="BalloonText">
    <w:name w:val="Balloon Text"/>
    <w:basedOn w:val="Normal"/>
    <w:rsid w:val="007F0D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7F0DF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7654F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7654F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BoardName">
    <w:name w:val="BoardName"/>
    <w:rsid w:val="007F0DF7"/>
    <w:pPr>
      <w:spacing w:before="120" w:after="120"/>
      <w:jc w:val="center"/>
    </w:pPr>
    <w:rPr>
      <w:rFonts w:ascii="Palatino Linotype" w:hAnsi="Palatino Linotype"/>
      <w:b/>
      <w:sz w:val="24"/>
      <w:szCs w:val="24"/>
      <w:lang w:val="en-AU"/>
    </w:rPr>
  </w:style>
  <w:style w:type="paragraph" w:customStyle="1" w:styleId="MeetingDate">
    <w:name w:val="MeetingDate"/>
    <w:rsid w:val="007F0DF7"/>
    <w:rPr>
      <w:rFonts w:ascii="Palatino Linotype" w:hAnsi="Palatino Linotype"/>
      <w:b/>
      <w:sz w:val="24"/>
      <w:szCs w:val="24"/>
      <w:lang w:val="en-AU"/>
    </w:rPr>
  </w:style>
  <w:style w:type="paragraph" w:customStyle="1" w:styleId="MeetingNumber">
    <w:name w:val="MeetingNumber"/>
    <w:rsid w:val="007F0DF7"/>
    <w:rPr>
      <w:rFonts w:ascii="Palatino Linotype" w:hAnsi="Palatino Linotype"/>
      <w:b/>
      <w:sz w:val="24"/>
      <w:szCs w:val="24"/>
      <w:lang w:val="en-AU"/>
    </w:rPr>
  </w:style>
  <w:style w:type="paragraph" w:customStyle="1" w:styleId="AgendaItem">
    <w:name w:val="AgendaItem"/>
    <w:rsid w:val="007F0DF7"/>
    <w:rPr>
      <w:rFonts w:ascii="Palatino Linotype" w:hAnsi="Palatino Linotype"/>
      <w:b/>
      <w:sz w:val="24"/>
      <w:szCs w:val="24"/>
      <w:lang w:val="en-AU"/>
    </w:rPr>
  </w:style>
  <w:style w:type="character" w:customStyle="1" w:styleId="MeetingDateChar">
    <w:name w:val="MeetingDate Char"/>
    <w:rsid w:val="007F0DF7"/>
    <w:rPr>
      <w:rFonts w:ascii="Palatino Linotype" w:hAnsi="Palatino Linotype"/>
      <w:b/>
      <w:noProof w:val="0"/>
      <w:sz w:val="24"/>
      <w:szCs w:val="24"/>
      <w:lang w:val="en-AU" w:eastAsia="en-US" w:bidi="ar-SA"/>
    </w:rPr>
  </w:style>
  <w:style w:type="character" w:customStyle="1" w:styleId="MeetingNumberChar">
    <w:name w:val="MeetingNumber Char"/>
    <w:rsid w:val="007F0DF7"/>
    <w:rPr>
      <w:rFonts w:ascii="Palatino Linotype" w:hAnsi="Palatino Linotype"/>
      <w:b/>
      <w:noProof w:val="0"/>
      <w:sz w:val="24"/>
      <w:szCs w:val="24"/>
      <w:lang w:val="en-AU" w:eastAsia="en-US" w:bidi="ar-SA"/>
    </w:rPr>
  </w:style>
  <w:style w:type="paragraph" w:customStyle="1" w:styleId="Default">
    <w:name w:val="Default"/>
    <w:rsid w:val="007F0DF7"/>
    <w:pPr>
      <w:autoSpaceDE w:val="0"/>
      <w:autoSpaceDN w:val="0"/>
      <w:adjustRightInd w:val="0"/>
    </w:pPr>
    <w:rPr>
      <w:rFonts w:cs="Arial"/>
      <w:color w:val="000000"/>
      <w:sz w:val="24"/>
      <w:szCs w:val="24"/>
      <w:lang w:val="en-AU" w:eastAsia="en-AU"/>
    </w:rPr>
  </w:style>
  <w:style w:type="paragraph" w:customStyle="1" w:styleId="Char1CharCharCharCharChar1CharCharCharCharCharCharCharCharCharChar">
    <w:name w:val="Char1 Char Char Char Char Char1 Char Char Char Char Char Char Char Char Char Char"/>
    <w:basedOn w:val="Normal"/>
    <w:rsid w:val="007F0DF7"/>
    <w:rPr>
      <w:rFonts w:cs="Arial"/>
      <w:sz w:val="22"/>
      <w:szCs w:val="22"/>
      <w:lang w:eastAsia="en-US"/>
    </w:rPr>
  </w:style>
  <w:style w:type="character" w:customStyle="1" w:styleId="Heading1Char">
    <w:name w:val="Heading 1 Char"/>
    <w:rsid w:val="007F0DF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erChar">
    <w:name w:val="Header Char"/>
    <w:rsid w:val="007F0DF7"/>
    <w:rPr>
      <w:sz w:val="24"/>
      <w:szCs w:val="24"/>
    </w:rPr>
  </w:style>
  <w:style w:type="paragraph" w:styleId="BodyText">
    <w:name w:val="Body Text"/>
    <w:basedOn w:val="Normal"/>
    <w:semiHidden/>
    <w:rsid w:val="007F0DF7"/>
    <w:rPr>
      <w:sz w:val="22"/>
      <w:lang w:eastAsia="en-US"/>
    </w:rPr>
  </w:style>
  <w:style w:type="character" w:customStyle="1" w:styleId="BodyTextChar">
    <w:name w:val="Body Text Char"/>
    <w:rsid w:val="007F0DF7"/>
    <w:rPr>
      <w:sz w:val="22"/>
      <w:szCs w:val="24"/>
      <w:lang w:eastAsia="en-US"/>
    </w:rPr>
  </w:style>
  <w:style w:type="paragraph" w:styleId="BodyTextIndent">
    <w:name w:val="Body Text Indent"/>
    <w:basedOn w:val="Normal"/>
    <w:semiHidden/>
    <w:rsid w:val="007F0DF7"/>
    <w:pPr>
      <w:spacing w:after="120"/>
      <w:ind w:left="283"/>
    </w:pPr>
    <w:rPr>
      <w:lang w:eastAsia="en-US"/>
    </w:rPr>
  </w:style>
  <w:style w:type="character" w:customStyle="1" w:styleId="BodyTextIndentChar">
    <w:name w:val="Body Text Indent Char"/>
    <w:rsid w:val="007F0DF7"/>
    <w:rPr>
      <w:rFonts w:ascii="Arial" w:hAnsi="Arial"/>
      <w:sz w:val="24"/>
      <w:szCs w:val="24"/>
      <w:lang w:eastAsia="en-US"/>
    </w:rPr>
  </w:style>
  <w:style w:type="paragraph" w:styleId="Title">
    <w:name w:val="Title"/>
    <w:basedOn w:val="Normal"/>
    <w:next w:val="Normal"/>
    <w:qFormat/>
    <w:rsid w:val="007F0DF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rsid w:val="007F0DF7"/>
    <w:rPr>
      <w:rFonts w:ascii="Cambria" w:hAnsi="Cambria"/>
      <w:noProof w:val="0"/>
      <w:color w:val="17365D"/>
      <w:spacing w:val="5"/>
      <w:kern w:val="28"/>
      <w:sz w:val="52"/>
      <w:szCs w:val="52"/>
      <w:lang w:val="en-US" w:eastAsia="en-US"/>
    </w:rPr>
  </w:style>
  <w:style w:type="paragraph" w:styleId="BodyTextIndent3">
    <w:name w:val="Body Text Indent 3"/>
    <w:basedOn w:val="Normal"/>
    <w:semiHidden/>
    <w:rsid w:val="007F0DF7"/>
    <w:pPr>
      <w:spacing w:after="120"/>
      <w:ind w:left="283"/>
    </w:pPr>
    <w:rPr>
      <w:sz w:val="16"/>
      <w:szCs w:val="16"/>
      <w:lang w:eastAsia="en-US"/>
    </w:rPr>
  </w:style>
  <w:style w:type="character" w:customStyle="1" w:styleId="BodyTextIndent3Char">
    <w:name w:val="Body Text Indent 3 Char"/>
    <w:rsid w:val="007F0DF7"/>
    <w:rPr>
      <w:rFonts w:ascii="Arial" w:hAnsi="Arial"/>
      <w:sz w:val="16"/>
      <w:szCs w:val="16"/>
      <w:lang w:eastAsia="en-US"/>
    </w:rPr>
  </w:style>
  <w:style w:type="paragraph" w:customStyle="1" w:styleId="AHPRAHeadline">
    <w:name w:val="AHPRA Headline"/>
    <w:basedOn w:val="Normal"/>
    <w:qFormat/>
    <w:rsid w:val="007F0DF7"/>
    <w:pPr>
      <w:spacing w:after="200"/>
    </w:pPr>
    <w:rPr>
      <w:color w:val="008EC4"/>
      <w:sz w:val="28"/>
      <w:lang w:val="en-US" w:eastAsia="en-US"/>
    </w:rPr>
  </w:style>
  <w:style w:type="paragraph" w:styleId="NoSpacing">
    <w:name w:val="No Spacing"/>
    <w:qFormat/>
    <w:rsid w:val="007F0DF7"/>
    <w:rPr>
      <w:rFonts w:ascii="Calibri" w:hAnsi="Calibri"/>
      <w:sz w:val="22"/>
      <w:szCs w:val="22"/>
    </w:rPr>
  </w:style>
  <w:style w:type="paragraph" w:styleId="BodyText2">
    <w:name w:val="Body Text 2"/>
    <w:basedOn w:val="Normal"/>
    <w:semiHidden/>
    <w:rsid w:val="007F0DF7"/>
    <w:pPr>
      <w:spacing w:after="120" w:line="480" w:lineRule="auto"/>
    </w:pPr>
    <w:rPr>
      <w:rFonts w:ascii="Cambria" w:hAnsi="Cambria"/>
      <w:lang w:val="en-US" w:eastAsia="en-US"/>
    </w:rPr>
  </w:style>
  <w:style w:type="character" w:customStyle="1" w:styleId="BodyText2Char">
    <w:name w:val="Body Text 2 Char"/>
    <w:rsid w:val="007F0DF7"/>
    <w:rPr>
      <w:rFonts w:ascii="Cambria" w:eastAsia="Cambria" w:hAnsi="Cambria"/>
      <w:noProof w:val="0"/>
      <w:sz w:val="24"/>
      <w:szCs w:val="24"/>
      <w:lang w:val="en-US" w:eastAsia="en-US"/>
    </w:rPr>
  </w:style>
  <w:style w:type="paragraph" w:styleId="BodyTextIndent2">
    <w:name w:val="Body Text Indent 2"/>
    <w:basedOn w:val="Normal"/>
    <w:semiHidden/>
    <w:rsid w:val="007F0DF7"/>
    <w:pPr>
      <w:spacing w:after="120" w:line="480" w:lineRule="auto"/>
      <w:ind w:left="283"/>
    </w:pPr>
    <w:rPr>
      <w:lang w:eastAsia="en-US"/>
    </w:rPr>
  </w:style>
  <w:style w:type="character" w:customStyle="1" w:styleId="BodyTextIndent2Char">
    <w:name w:val="Body Text Indent 2 Char"/>
    <w:rsid w:val="007F0DF7"/>
    <w:rPr>
      <w:rFonts w:ascii="Arial" w:hAnsi="Arial"/>
      <w:sz w:val="24"/>
      <w:szCs w:val="24"/>
      <w:lang w:eastAsia="en-US"/>
    </w:rPr>
  </w:style>
  <w:style w:type="paragraph" w:styleId="BodyText3">
    <w:name w:val="Body Text 3"/>
    <w:basedOn w:val="Normal"/>
    <w:semiHidden/>
    <w:rsid w:val="007F0DF7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rsid w:val="007F0DF7"/>
    <w:rPr>
      <w:rFonts w:ascii="Arial" w:hAnsi="Arial"/>
      <w:sz w:val="16"/>
      <w:szCs w:val="16"/>
      <w:lang w:eastAsia="en-US"/>
    </w:rPr>
  </w:style>
  <w:style w:type="paragraph" w:styleId="Subtitle">
    <w:name w:val="Subtitle"/>
    <w:basedOn w:val="Normal"/>
    <w:next w:val="Normal"/>
    <w:qFormat/>
    <w:rsid w:val="007F0DF7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val="en-US" w:eastAsia="en-US"/>
    </w:rPr>
  </w:style>
  <w:style w:type="character" w:customStyle="1" w:styleId="SubtitleChar">
    <w:name w:val="Subtitle Char"/>
    <w:rsid w:val="007F0DF7"/>
    <w:rPr>
      <w:rFonts w:ascii="Cambria" w:hAnsi="Cambria"/>
      <w:i/>
      <w:iCs/>
      <w:noProof w:val="0"/>
      <w:color w:val="4F81BD"/>
      <w:spacing w:val="15"/>
      <w:sz w:val="24"/>
      <w:szCs w:val="24"/>
      <w:lang w:val="en-US" w:eastAsia="en-US"/>
    </w:rPr>
  </w:style>
  <w:style w:type="paragraph" w:styleId="BlockText">
    <w:name w:val="Block Text"/>
    <w:basedOn w:val="Normal"/>
    <w:semiHidden/>
    <w:rsid w:val="007F0DF7"/>
    <w:pPr>
      <w:spacing w:before="120"/>
      <w:ind w:left="426" w:right="176" w:hanging="142"/>
      <w:jc w:val="both"/>
    </w:pPr>
    <w:rPr>
      <w:rFonts w:cs="Arial"/>
      <w:szCs w:val="20"/>
      <w:lang w:eastAsia="en-US"/>
    </w:rPr>
  </w:style>
  <w:style w:type="character" w:styleId="CommentReference">
    <w:name w:val="annotation reference"/>
    <w:uiPriority w:val="99"/>
    <w:semiHidden/>
    <w:rsid w:val="007F0DF7"/>
    <w:rPr>
      <w:sz w:val="16"/>
      <w:szCs w:val="16"/>
    </w:rPr>
  </w:style>
  <w:style w:type="paragraph" w:styleId="CommentText">
    <w:name w:val="annotation text"/>
    <w:basedOn w:val="Normal"/>
    <w:uiPriority w:val="99"/>
    <w:semiHidden/>
    <w:rsid w:val="007F0DF7"/>
    <w:rPr>
      <w:szCs w:val="20"/>
    </w:rPr>
  </w:style>
  <w:style w:type="character" w:customStyle="1" w:styleId="CommentTextChar">
    <w:name w:val="Comment Text Char"/>
    <w:basedOn w:val="DefaultParagraphFont"/>
    <w:uiPriority w:val="99"/>
    <w:rsid w:val="007F0DF7"/>
  </w:style>
  <w:style w:type="paragraph" w:styleId="CommentSubject">
    <w:name w:val="annotation subject"/>
    <w:basedOn w:val="CommentText"/>
    <w:next w:val="CommentText"/>
    <w:rsid w:val="007F0DF7"/>
    <w:rPr>
      <w:b/>
      <w:bCs/>
    </w:rPr>
  </w:style>
  <w:style w:type="character" w:customStyle="1" w:styleId="CommentSubjectChar">
    <w:name w:val="Comment Subject Char"/>
    <w:rsid w:val="007F0DF7"/>
    <w:rPr>
      <w:b/>
      <w:bCs/>
    </w:rPr>
  </w:style>
  <w:style w:type="character" w:styleId="PageNumber">
    <w:name w:val="page number"/>
    <w:basedOn w:val="DefaultParagraphFont"/>
    <w:semiHidden/>
    <w:rsid w:val="007F0DF7"/>
  </w:style>
  <w:style w:type="table" w:styleId="TableGrid">
    <w:name w:val="Table Grid"/>
    <w:basedOn w:val="TableNormal"/>
    <w:uiPriority w:val="59"/>
    <w:rsid w:val="0039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61618F"/>
    <w:pPr>
      <w:tabs>
        <w:tab w:val="right" w:leader="dot" w:pos="9016"/>
      </w:tabs>
      <w:spacing w:line="360" w:lineRule="auto"/>
    </w:pPr>
    <w:rPr>
      <w:rFonts w:cs="Arial"/>
      <w:b/>
      <w:color w:val="00BCCE"/>
      <w:szCs w:val="20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7B63DA"/>
    <w:pPr>
      <w:ind w:left="240"/>
    </w:pPr>
  </w:style>
  <w:style w:type="paragraph" w:customStyle="1" w:styleId="AHPRATitle">
    <w:name w:val="AHPRA Title"/>
    <w:basedOn w:val="Normal"/>
    <w:next w:val="AHPRAHeadline"/>
    <w:qFormat/>
    <w:rsid w:val="0061618F"/>
    <w:pPr>
      <w:spacing w:after="200"/>
      <w:outlineLvl w:val="0"/>
    </w:pPr>
    <w:rPr>
      <w:rFonts w:cs="Arial"/>
      <w:color w:val="808080"/>
      <w:sz w:val="44"/>
      <w:szCs w:val="5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41F0"/>
    <w:rPr>
      <w:color w:val="800080"/>
      <w:u w:val="single"/>
    </w:rPr>
  </w:style>
  <w:style w:type="paragraph" w:styleId="Revision">
    <w:name w:val="Revision"/>
    <w:hidden/>
    <w:uiPriority w:val="99"/>
    <w:semiHidden/>
    <w:rsid w:val="009941F0"/>
    <w:rPr>
      <w:szCs w:val="24"/>
      <w:lang w:val="en-AU" w:eastAsia="en-AU"/>
    </w:rPr>
  </w:style>
  <w:style w:type="character" w:styleId="IntenseEmphasis">
    <w:name w:val="Intense Emphasis"/>
    <w:aliases w:val="AHPRA- Footer"/>
    <w:uiPriority w:val="1"/>
    <w:unhideWhenUsed/>
    <w:qFormat/>
    <w:rsid w:val="007654FC"/>
    <w:rPr>
      <w:rFonts w:ascii="Arial" w:hAnsi="Arial" w:cs="Arial"/>
      <w:sz w:val="16"/>
    </w:rPr>
  </w:style>
  <w:style w:type="paragraph" w:customStyle="1" w:styleId="AHPRAbody">
    <w:name w:val="AHPRA body"/>
    <w:basedOn w:val="Normal"/>
    <w:link w:val="AHPRAbodyChar"/>
    <w:qFormat/>
    <w:rsid w:val="007654FC"/>
    <w:pPr>
      <w:spacing w:after="200"/>
    </w:pPr>
    <w:rPr>
      <w:rFonts w:cs="Arial"/>
      <w:lang w:val="en-US" w:eastAsia="en-US"/>
    </w:rPr>
  </w:style>
  <w:style w:type="character" w:customStyle="1" w:styleId="AHPRAbodyChar">
    <w:name w:val="AHPRA body Char"/>
    <w:basedOn w:val="DefaultParagraphFont"/>
    <w:link w:val="AHPRAbody"/>
    <w:rsid w:val="007654FC"/>
    <w:rPr>
      <w:rFonts w:cs="Arial"/>
      <w:szCs w:val="24"/>
    </w:rPr>
  </w:style>
  <w:style w:type="paragraph" w:customStyle="1" w:styleId="AHPRAbodybold">
    <w:name w:val="AHPRA body bold"/>
    <w:basedOn w:val="AHPRAbody"/>
    <w:link w:val="AHPRAbodyboldChar"/>
    <w:qFormat/>
    <w:rsid w:val="007654FC"/>
    <w:rPr>
      <w:b/>
    </w:rPr>
  </w:style>
  <w:style w:type="character" w:customStyle="1" w:styleId="AHPRAbodyboldChar">
    <w:name w:val="AHPRA body bold Char"/>
    <w:basedOn w:val="AHPRAbodyChar"/>
    <w:link w:val="AHPRAbodybold"/>
    <w:rsid w:val="007654FC"/>
    <w:rPr>
      <w:rFonts w:cs="Arial"/>
      <w:b/>
      <w:szCs w:val="24"/>
    </w:rPr>
  </w:style>
  <w:style w:type="paragraph" w:customStyle="1" w:styleId="AHPRADocumentsubheading">
    <w:name w:val="AHPRA Document subheading"/>
    <w:basedOn w:val="Normal"/>
    <w:next w:val="Normal"/>
    <w:qFormat/>
    <w:rsid w:val="007654FC"/>
    <w:pPr>
      <w:spacing w:after="200"/>
      <w:outlineLvl w:val="0"/>
    </w:pPr>
    <w:rPr>
      <w:rFonts w:cs="Arial"/>
      <w:color w:val="5F6062"/>
      <w:sz w:val="28"/>
      <w:szCs w:val="52"/>
      <w:lang w:eastAsia="en-US"/>
    </w:rPr>
  </w:style>
  <w:style w:type="paragraph" w:customStyle="1" w:styleId="AHPRASubheading">
    <w:name w:val="AHPRA Subheading"/>
    <w:basedOn w:val="Normal"/>
    <w:qFormat/>
    <w:rsid w:val="007654FC"/>
    <w:pPr>
      <w:spacing w:before="200" w:after="200"/>
    </w:pPr>
    <w:rPr>
      <w:b/>
      <w:color w:val="007DC3"/>
      <w:lang w:eastAsia="en-US"/>
    </w:rPr>
  </w:style>
  <w:style w:type="paragraph" w:customStyle="1" w:styleId="AHPRASubheadinglevel2">
    <w:name w:val="AHPRA Subheading level 2"/>
    <w:basedOn w:val="AHPRASubheading"/>
    <w:next w:val="Normal"/>
    <w:qFormat/>
    <w:rsid w:val="007654FC"/>
    <w:rPr>
      <w:color w:val="auto"/>
    </w:rPr>
  </w:style>
  <w:style w:type="paragraph" w:customStyle="1" w:styleId="AHPRASubheadinglevel3">
    <w:name w:val="AHPRA Subheading level 3"/>
    <w:basedOn w:val="AHPRASubheading"/>
    <w:next w:val="Normal"/>
    <w:qFormat/>
    <w:rsid w:val="007654FC"/>
    <w:rPr>
      <w:b w:val="0"/>
    </w:rPr>
  </w:style>
  <w:style w:type="paragraph" w:customStyle="1" w:styleId="AHPRABulletlevel1">
    <w:name w:val="AHPRA Bullet level 1"/>
    <w:basedOn w:val="Normal"/>
    <w:qFormat/>
    <w:rsid w:val="007654FC"/>
    <w:pPr>
      <w:numPr>
        <w:numId w:val="11"/>
      </w:numPr>
    </w:pPr>
    <w:rPr>
      <w:lang w:eastAsia="en-US"/>
    </w:rPr>
  </w:style>
  <w:style w:type="paragraph" w:customStyle="1" w:styleId="AHPRAbodyitalics">
    <w:name w:val="AHPRA body italics"/>
    <w:basedOn w:val="AHPRAbodybold"/>
    <w:link w:val="AHPRAbodyitalicsChar"/>
    <w:qFormat/>
    <w:rsid w:val="007654FC"/>
    <w:rPr>
      <w:i/>
    </w:rPr>
  </w:style>
  <w:style w:type="character" w:customStyle="1" w:styleId="AHPRAbodyitalicsChar">
    <w:name w:val="AHPRA body italics Char"/>
    <w:basedOn w:val="AHPRAbodyboldChar"/>
    <w:link w:val="AHPRAbodyitalics"/>
    <w:rsid w:val="007654FC"/>
    <w:rPr>
      <w:rFonts w:cs="Arial"/>
      <w:b/>
      <w:i/>
      <w:szCs w:val="24"/>
    </w:rPr>
  </w:style>
  <w:style w:type="paragraph" w:customStyle="1" w:styleId="AHPRAfooter">
    <w:name w:val="AHPRA footer"/>
    <w:basedOn w:val="FootnoteText"/>
    <w:rsid w:val="006E5F45"/>
    <w:rPr>
      <w:rFonts w:cs="Arial"/>
      <w:color w:val="5F6062"/>
      <w:sz w:val="18"/>
      <w:lang w:eastAsia="en-US"/>
    </w:rPr>
  </w:style>
  <w:style w:type="paragraph" w:customStyle="1" w:styleId="AHPRAfirstpagefooter">
    <w:name w:val="AHPRA first page footer"/>
    <w:basedOn w:val="AHPRAfooter"/>
    <w:rsid w:val="006E5F45"/>
    <w:pPr>
      <w:jc w:val="center"/>
    </w:pPr>
    <w:rPr>
      <w:b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F45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F45"/>
  </w:style>
  <w:style w:type="character" w:customStyle="1" w:styleId="ListParagraphChar">
    <w:name w:val="List Paragraph Char"/>
    <w:link w:val="ListParagraph"/>
    <w:uiPriority w:val="34"/>
    <w:locked/>
    <w:rsid w:val="00086F85"/>
    <w:rPr>
      <w:rFonts w:eastAsia="Calibri" w:cs="Arial"/>
      <w:sz w:val="22"/>
      <w:szCs w:val="22"/>
      <w:lang w:val="en-AU" w:eastAsia="en-AU"/>
    </w:rPr>
  </w:style>
  <w:style w:type="paragraph" w:customStyle="1" w:styleId="AHPRANumberedlistlevel2">
    <w:name w:val="AHPRA Numbered list level 2"/>
    <w:basedOn w:val="AHPRANumberedlistlevel1"/>
    <w:rsid w:val="00E25DDC"/>
    <w:pPr>
      <w:numPr>
        <w:ilvl w:val="1"/>
        <w:numId w:val="26"/>
      </w:numPr>
    </w:pPr>
  </w:style>
  <w:style w:type="numbering" w:customStyle="1" w:styleId="AHPRANumberedlist">
    <w:name w:val="AHPRA Numbered list"/>
    <w:uiPriority w:val="99"/>
    <w:rsid w:val="00E25DDC"/>
    <w:pPr>
      <w:numPr>
        <w:numId w:val="23"/>
      </w:numPr>
    </w:pPr>
  </w:style>
  <w:style w:type="paragraph" w:customStyle="1" w:styleId="AHPRANumberedlistlevel1">
    <w:name w:val="AHPRA Numbered list level 1"/>
    <w:basedOn w:val="AHPRABulletlevel1"/>
    <w:qFormat/>
    <w:rsid w:val="00E25DDC"/>
    <w:pPr>
      <w:numPr>
        <w:numId w:val="0"/>
      </w:numPr>
    </w:pPr>
  </w:style>
  <w:style w:type="paragraph" w:customStyle="1" w:styleId="AHPRANumberedlistlevel3">
    <w:name w:val="AHPRA Numbered list level 3"/>
    <w:basedOn w:val="AHPRANumberedlistlevel1"/>
    <w:rsid w:val="00E25DDC"/>
    <w:pPr>
      <w:numPr>
        <w:ilvl w:val="2"/>
        <w:numId w:val="26"/>
      </w:numPr>
    </w:pPr>
  </w:style>
  <w:style w:type="paragraph" w:customStyle="1" w:styleId="AHPRAnumberedsubheadinglevel1">
    <w:name w:val="AHPRA numbered subheading level 1"/>
    <w:basedOn w:val="AHPRASubheading"/>
    <w:next w:val="AHPRAnumberedbulletpoint"/>
    <w:rsid w:val="00E25DDC"/>
    <w:pPr>
      <w:numPr>
        <w:numId w:val="24"/>
      </w:numPr>
      <w:tabs>
        <w:tab w:val="num" w:pos="360"/>
      </w:tabs>
      <w:ind w:left="369" w:hanging="369"/>
    </w:pPr>
    <w:rPr>
      <w:color w:val="008EC4"/>
      <w:lang w:val="en-US"/>
    </w:rPr>
  </w:style>
  <w:style w:type="paragraph" w:customStyle="1" w:styleId="AHPRAnumberedbulletpoint">
    <w:name w:val="AHPRA numbered bullet point"/>
    <w:basedOn w:val="AHPRAnumberedsubheadinglevel1"/>
    <w:link w:val="AHPRAnumberedbulletpointChar"/>
    <w:rsid w:val="00E25DDC"/>
    <w:pPr>
      <w:numPr>
        <w:ilvl w:val="1"/>
      </w:numPr>
    </w:pPr>
    <w:rPr>
      <w:b w:val="0"/>
      <w:color w:val="auto"/>
    </w:rPr>
  </w:style>
  <w:style w:type="numbering" w:customStyle="1" w:styleId="AHPRAlist">
    <w:name w:val="AHPRA list"/>
    <w:uiPriority w:val="99"/>
    <w:rsid w:val="00E25DDC"/>
    <w:pPr>
      <w:numPr>
        <w:numId w:val="25"/>
      </w:numPr>
    </w:pPr>
  </w:style>
  <w:style w:type="character" w:customStyle="1" w:styleId="AHPRAnumberedbulletpointChar">
    <w:name w:val="AHPRA numbered bullet point Char"/>
    <w:basedOn w:val="DefaultParagraphFont"/>
    <w:link w:val="AHPRAnumberedbulletpoint"/>
    <w:rsid w:val="00E25DD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1205D-4F51-4921-AE9B-330533588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AHPRA</Company>
  <LinksUpToDate>false</LinksUpToDate>
  <CharactersWithSpaces>7773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guide - Notifications Committee of the Pharmacy Board of Australia - 2 September 2015</dc:title>
  <dc:subject>Guide</dc:subject>
  <dc:creator>Pharmacy Board</dc:creator>
  <dc:description/>
  <cp:lastModifiedBy>Sheryl Kamath</cp:lastModifiedBy>
  <cp:revision>2</cp:revision>
  <cp:lastPrinted>2015-08-13T00:13:00Z</cp:lastPrinted>
  <dcterms:created xsi:type="dcterms:W3CDTF">2015-09-02T02:38:00Z</dcterms:created>
  <dcterms:modified xsi:type="dcterms:W3CDTF">2015-09-02T02:38:00Z</dcterms:modified>
</cp:coreProperties>
</file>