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42" w:rsidRDefault="004F5042" w:rsidP="00C3795C">
      <w:pPr>
        <w:pStyle w:val="AHPRADocumenttitle"/>
        <w:rPr>
          <w:noProof/>
          <w:lang w:val="en-GB" w:eastAsia="en-GB"/>
        </w:rPr>
      </w:pPr>
    </w:p>
    <w:p w:rsidR="004F5042" w:rsidRDefault="004F5042" w:rsidP="00C3795C">
      <w:pPr>
        <w:pStyle w:val="AHPRADocumenttitle"/>
        <w:rPr>
          <w:noProof/>
          <w:lang w:val="en-GB" w:eastAsia="en-GB"/>
        </w:rPr>
      </w:pPr>
    </w:p>
    <w:p w:rsidR="004F5042" w:rsidRDefault="004F5042" w:rsidP="00C3795C">
      <w:pPr>
        <w:pStyle w:val="AHPRADocumenttitle"/>
        <w:rPr>
          <w:noProof/>
          <w:lang w:val="en-GB" w:eastAsia="en-GB"/>
        </w:rPr>
      </w:pPr>
    </w:p>
    <w:p w:rsidR="00BE19D5" w:rsidRPr="00C3795C" w:rsidRDefault="00014DCD" w:rsidP="00C3795C">
      <w:pPr>
        <w:pStyle w:val="AHPRADocumenttitle"/>
      </w:pPr>
      <w:r>
        <w:rPr>
          <w:noProof/>
          <w:lang w:val="en-GB" w:eastAsia="en-GB"/>
        </w:rPr>
        <w:t>Information</w:t>
      </w:r>
      <w:r w:rsidR="008D3CEC">
        <w:rPr>
          <w:noProof/>
          <w:lang w:val="en-GB" w:eastAsia="en-GB"/>
        </w:rPr>
        <w:t xml:space="preserve"> </w:t>
      </w:r>
      <w:r w:rsidR="00275CA0">
        <w:rPr>
          <w:noProof/>
          <w:lang w:val="en-GB" w:eastAsia="en-GB"/>
        </w:rPr>
        <w:t>g</w:t>
      </w:r>
      <w:r w:rsidR="008D4621">
        <w:rPr>
          <w:noProof/>
          <w:lang w:val="en-GB" w:eastAsia="en-GB"/>
        </w:rPr>
        <w:t>uide</w:t>
      </w:r>
    </w:p>
    <w:p w:rsidR="00C3795C" w:rsidRDefault="00B374FE" w:rsidP="00FC2881">
      <w:pPr>
        <w:outlineLvl w:val="0"/>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2.1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p>
    <w:p w:rsidR="00C35DE1" w:rsidRDefault="00017B94" w:rsidP="00C3795C">
      <w:pPr>
        <w:pStyle w:val="AHPRAbody"/>
      </w:pPr>
      <w:r>
        <w:t>March</w:t>
      </w:r>
      <w:r w:rsidR="00D8301D">
        <w:t xml:space="preserve"> 2016</w:t>
      </w:r>
    </w:p>
    <w:p w:rsidR="000F57B2" w:rsidRPr="002B4009" w:rsidRDefault="0022136B" w:rsidP="000F57B2">
      <w:pPr>
        <w:pStyle w:val="AHPRADocumentsubheading"/>
      </w:pPr>
      <w:r>
        <w:t>Chinese Medicine Accreditation Committee</w:t>
      </w:r>
      <w:bookmarkStart w:id="0" w:name="_GoBack"/>
      <w:bookmarkEnd w:id="0"/>
    </w:p>
    <w:p w:rsidR="00F91102" w:rsidRDefault="00F91102" w:rsidP="00F91102">
      <w:pPr>
        <w:pStyle w:val="AHPRASubheading"/>
        <w:rPr>
          <w:szCs w:val="20"/>
        </w:rPr>
      </w:pPr>
      <w:bookmarkStart w:id="1" w:name="_Toc315895074"/>
      <w:bookmarkStart w:id="2" w:name="_Toc315895085"/>
      <w:bookmarkStart w:id="3" w:name="_Toc316637054"/>
      <w:bookmarkStart w:id="4" w:name="_Toc316997876"/>
      <w:r>
        <w:t>Guide</w:t>
      </w:r>
      <w:r w:rsidRPr="00600BE4">
        <w:t xml:space="preserve"> for </w:t>
      </w:r>
      <w:r>
        <w:t>applicants</w:t>
      </w:r>
    </w:p>
    <w:p w:rsidR="008A7055" w:rsidRPr="006369D9" w:rsidRDefault="008A7055" w:rsidP="008A7055">
      <w:pPr>
        <w:pStyle w:val="AHPRAbody"/>
        <w:rPr>
          <w:szCs w:val="20"/>
        </w:rPr>
      </w:pPr>
      <w:r w:rsidRPr="006369D9">
        <w:rPr>
          <w:szCs w:val="20"/>
        </w:rPr>
        <w:t>This information package includes:</w:t>
      </w:r>
    </w:p>
    <w:p w:rsidR="008A7055" w:rsidRPr="006369D9" w:rsidRDefault="008A7055" w:rsidP="008A7055">
      <w:pPr>
        <w:pStyle w:val="AHPRABulletlevel1"/>
        <w:ind w:left="720"/>
      </w:pPr>
      <w:r>
        <w:t xml:space="preserve">information about the Accreditation Committee, established by the </w:t>
      </w:r>
      <w:r w:rsidR="0022136B">
        <w:t>Chinese Medicine</w:t>
      </w:r>
      <w:r>
        <w:t xml:space="preserve"> Board of Australia </w:t>
      </w:r>
      <w:r w:rsidRPr="006369D9">
        <w:t>under the Health Practitioner Regulation National Law</w:t>
      </w:r>
    </w:p>
    <w:p w:rsidR="008A7055" w:rsidRPr="006369D9" w:rsidRDefault="008A7055" w:rsidP="008A7055">
      <w:pPr>
        <w:pStyle w:val="AHPRABulletlevel1"/>
        <w:ind w:left="720"/>
      </w:pPr>
      <w:r>
        <w:t>selection criteria</w:t>
      </w:r>
    </w:p>
    <w:p w:rsidR="008A7055" w:rsidRPr="006369D9" w:rsidRDefault="008A7055" w:rsidP="008A7055">
      <w:pPr>
        <w:pStyle w:val="AHPRABulletlevel1"/>
        <w:ind w:left="720"/>
      </w:pPr>
      <w:r>
        <w:t>selection process</w:t>
      </w:r>
    </w:p>
    <w:p w:rsidR="008A7055" w:rsidRPr="006369D9" w:rsidRDefault="008A7055" w:rsidP="008A7055">
      <w:pPr>
        <w:pStyle w:val="AHPRABulletlevel1"/>
        <w:ind w:left="720"/>
      </w:pPr>
      <w:r w:rsidRPr="006369D9">
        <w:t>sitting fees and remuneration information, if application is successful, and</w:t>
      </w:r>
    </w:p>
    <w:p w:rsidR="008A7055" w:rsidRPr="006369D9" w:rsidRDefault="008A7055" w:rsidP="008A7055">
      <w:pPr>
        <w:pStyle w:val="AHPRABulletlevel1"/>
        <w:ind w:left="720"/>
      </w:pPr>
      <w:r w:rsidRPr="006369D9">
        <w:t>relevant sections of the National Law.</w:t>
      </w:r>
    </w:p>
    <w:p w:rsidR="008A7055" w:rsidRPr="006369D9" w:rsidRDefault="008A7055" w:rsidP="008A7055">
      <w:pPr>
        <w:pStyle w:val="AHPRAbody"/>
        <w:rPr>
          <w:rFonts w:eastAsia="Calibri"/>
          <w:szCs w:val="20"/>
        </w:rPr>
      </w:pPr>
    </w:p>
    <w:p w:rsidR="008A7055" w:rsidRPr="006369D9" w:rsidRDefault="008A7055" w:rsidP="008A7055">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8A7055" w:rsidRPr="006369D9" w:rsidRDefault="008A7055" w:rsidP="008A7055">
      <w:pPr>
        <w:pStyle w:val="AHPRABulletlevel1"/>
        <w:ind w:left="720"/>
      </w:pPr>
      <w:r w:rsidRPr="006369D9">
        <w:t>application form with declarations</w:t>
      </w:r>
    </w:p>
    <w:p w:rsidR="008A7055" w:rsidRDefault="008A7055" w:rsidP="008A7055">
      <w:pPr>
        <w:pStyle w:val="AHPRABulletlevel1"/>
        <w:ind w:left="720"/>
      </w:pPr>
      <w:r>
        <w:t>n</w:t>
      </w:r>
      <w:r w:rsidRPr="006369D9">
        <w:t xml:space="preserve">ational </w:t>
      </w:r>
      <w:r>
        <w:t>cr</w:t>
      </w:r>
      <w:r w:rsidRPr="006369D9">
        <w:t xml:space="preserve">iminal </w:t>
      </w:r>
      <w:r>
        <w:t>h</w:t>
      </w:r>
      <w:r w:rsidRPr="006369D9">
        <w:t xml:space="preserve">istory </w:t>
      </w:r>
      <w:r>
        <w:t>check</w:t>
      </w:r>
      <w:r w:rsidRPr="006369D9">
        <w:t xml:space="preserve"> </w:t>
      </w:r>
      <w:r>
        <w:t>consent form, and</w:t>
      </w:r>
    </w:p>
    <w:p w:rsidR="008A7055" w:rsidRPr="00F17EFA" w:rsidRDefault="008A7055" w:rsidP="008A7055">
      <w:pPr>
        <w:pStyle w:val="AHPRABulletlevel1"/>
        <w:ind w:left="720"/>
      </w:pPr>
      <w:r>
        <w:t>declaration of private interests form.</w:t>
      </w:r>
    </w:p>
    <w:p w:rsidR="00153A58" w:rsidRDefault="00153A58">
      <w:pPr>
        <w:pStyle w:val="AHPRABulletlevel1"/>
        <w:numPr>
          <w:ilvl w:val="0"/>
          <w:numId w:val="0"/>
        </w:numPr>
        <w:ind w:left="720"/>
      </w:pPr>
    </w:p>
    <w:p w:rsidR="00BE19D5" w:rsidRDefault="00BE19D5">
      <w:pPr>
        <w:spacing w:after="0"/>
        <w:rPr>
          <w:b/>
          <w:color w:val="007DC3"/>
          <w:sz w:val="20"/>
        </w:rPr>
      </w:pPr>
      <w:r>
        <w:br w:type="page"/>
      </w:r>
    </w:p>
    <w:bookmarkEnd w:id="1"/>
    <w:bookmarkEnd w:id="2"/>
    <w:bookmarkEnd w:id="3"/>
    <w:bookmarkEnd w:id="4"/>
    <w:p w:rsidR="008162CD" w:rsidRDefault="00BE19D5" w:rsidP="00A21BAE">
      <w:pPr>
        <w:pStyle w:val="AHPRADocumentsubheading"/>
      </w:pPr>
      <w:r w:rsidRPr="00346B6F">
        <w:lastRenderedPageBreak/>
        <w:t xml:space="preserve">Information for potential </w:t>
      </w:r>
      <w:r w:rsidR="00626419">
        <w:t>applicants</w:t>
      </w:r>
    </w:p>
    <w:p w:rsidR="00A21BAE" w:rsidRPr="00A21BAE" w:rsidRDefault="00A21BAE" w:rsidP="00A21BAE">
      <w:pPr>
        <w:pStyle w:val="AHPRASubheading"/>
      </w:pPr>
      <w:r w:rsidRPr="007254A7">
        <w:t>Introduction</w:t>
      </w:r>
    </w:p>
    <w:p w:rsidR="00C31EC3" w:rsidRPr="003E73ED" w:rsidRDefault="00C31EC3" w:rsidP="00C31EC3">
      <w:pPr>
        <w:spacing w:after="120"/>
        <w:rPr>
          <w:rFonts w:cs="Arial"/>
          <w:sz w:val="20"/>
          <w:szCs w:val="20"/>
        </w:rPr>
      </w:pPr>
      <w:r>
        <w:rPr>
          <w:rFonts w:cs="Arial"/>
          <w:sz w:val="20"/>
          <w:szCs w:val="20"/>
        </w:rPr>
        <w:t xml:space="preserve">Applications are invited </w:t>
      </w:r>
      <w:r w:rsidRPr="00FA6F6A">
        <w:rPr>
          <w:rFonts w:cs="Arial"/>
          <w:sz w:val="20"/>
          <w:szCs w:val="20"/>
        </w:rPr>
        <w:t xml:space="preserve">from suitably qualified and experienced persons to be appointed </w:t>
      </w:r>
      <w:r w:rsidR="00BC1B38">
        <w:rPr>
          <w:rFonts w:cs="Arial"/>
          <w:sz w:val="20"/>
          <w:szCs w:val="20"/>
        </w:rPr>
        <w:t xml:space="preserve">to the </w:t>
      </w:r>
      <w:r w:rsidR="003F6ADA">
        <w:rPr>
          <w:rFonts w:cs="Arial"/>
          <w:sz w:val="20"/>
          <w:szCs w:val="20"/>
        </w:rPr>
        <w:t>Chinese Medicine</w:t>
      </w:r>
      <w:r w:rsidR="00A520C0" w:rsidRPr="003E73ED">
        <w:rPr>
          <w:rFonts w:cs="Arial"/>
          <w:sz w:val="20"/>
          <w:szCs w:val="20"/>
        </w:rPr>
        <w:t xml:space="preserve"> </w:t>
      </w:r>
      <w:r w:rsidR="00BC1B38" w:rsidRPr="003E73ED">
        <w:rPr>
          <w:rFonts w:cs="Arial"/>
          <w:sz w:val="20"/>
          <w:szCs w:val="20"/>
        </w:rPr>
        <w:t xml:space="preserve">Accreditation </w:t>
      </w:r>
      <w:r w:rsidR="001E0F3C" w:rsidRPr="003E73ED">
        <w:rPr>
          <w:rFonts w:cs="Arial"/>
          <w:sz w:val="20"/>
          <w:szCs w:val="20"/>
        </w:rPr>
        <w:t xml:space="preserve">Committee </w:t>
      </w:r>
      <w:r w:rsidR="00A520C0" w:rsidRPr="003E73ED">
        <w:rPr>
          <w:rFonts w:cs="Arial"/>
          <w:sz w:val="20"/>
          <w:szCs w:val="20"/>
        </w:rPr>
        <w:t>(the Committee)</w:t>
      </w:r>
      <w:r w:rsidR="0044712B" w:rsidRPr="003E73ED">
        <w:rPr>
          <w:rFonts w:cs="Arial"/>
          <w:sz w:val="20"/>
          <w:szCs w:val="20"/>
        </w:rPr>
        <w:t>.</w:t>
      </w:r>
    </w:p>
    <w:p w:rsidR="00587A9D" w:rsidRDefault="00C31EC3" w:rsidP="00587A9D">
      <w:pPr>
        <w:tabs>
          <w:tab w:val="left" w:pos="0"/>
        </w:tabs>
        <w:autoSpaceDE w:val="0"/>
        <w:autoSpaceDN w:val="0"/>
        <w:adjustRightInd w:val="0"/>
        <w:rPr>
          <w:sz w:val="20"/>
          <w:szCs w:val="20"/>
        </w:rPr>
      </w:pPr>
      <w:r w:rsidRPr="003E73ED">
        <w:rPr>
          <w:rFonts w:cs="Arial"/>
          <w:bCs/>
          <w:sz w:val="20"/>
          <w:szCs w:val="20"/>
        </w:rPr>
        <w:t>T</w:t>
      </w:r>
      <w:r w:rsidRPr="003E73ED">
        <w:rPr>
          <w:rFonts w:cs="Arial"/>
          <w:sz w:val="20"/>
          <w:szCs w:val="20"/>
        </w:rPr>
        <w:t>he appointments are made by the Board under the Health Practitioner Regulation National Law</w:t>
      </w:r>
      <w:r w:rsidR="00514220" w:rsidRPr="003E73ED">
        <w:rPr>
          <w:rFonts w:cs="Arial"/>
          <w:sz w:val="20"/>
          <w:szCs w:val="20"/>
        </w:rPr>
        <w:t>,</w:t>
      </w:r>
      <w:r w:rsidRPr="003E73ED">
        <w:rPr>
          <w:rFonts w:cs="Arial"/>
          <w:sz w:val="20"/>
          <w:szCs w:val="20"/>
        </w:rPr>
        <w:t xml:space="preserve"> as in force in each state and territory (the National Law). Appointmen</w:t>
      </w:r>
      <w:r w:rsidR="007811B0" w:rsidRPr="003E73ED">
        <w:rPr>
          <w:rFonts w:cs="Arial"/>
          <w:sz w:val="20"/>
          <w:szCs w:val="20"/>
        </w:rPr>
        <w:t>ts are for</w:t>
      </w:r>
      <w:r w:rsidR="0005516F">
        <w:rPr>
          <w:rFonts w:cs="Arial"/>
          <w:sz w:val="20"/>
          <w:szCs w:val="20"/>
        </w:rPr>
        <w:t xml:space="preserve"> up to</w:t>
      </w:r>
      <w:r w:rsidR="007811B0" w:rsidRPr="003E73ED">
        <w:rPr>
          <w:rFonts w:cs="Arial"/>
          <w:sz w:val="20"/>
          <w:szCs w:val="20"/>
        </w:rPr>
        <w:t xml:space="preserve"> </w:t>
      </w:r>
      <w:r w:rsidR="00BC1B38" w:rsidRPr="003E73ED">
        <w:rPr>
          <w:rFonts w:cs="Arial"/>
          <w:sz w:val="20"/>
          <w:szCs w:val="20"/>
        </w:rPr>
        <w:t>three</w:t>
      </w:r>
      <w:r w:rsidR="009E6CC2" w:rsidRPr="003E73ED">
        <w:rPr>
          <w:rFonts w:cs="Arial"/>
          <w:sz w:val="20"/>
          <w:szCs w:val="20"/>
        </w:rPr>
        <w:t xml:space="preserve"> year</w:t>
      </w:r>
      <w:r w:rsidR="00BC1B38" w:rsidRPr="003E73ED">
        <w:rPr>
          <w:rFonts w:cs="Arial"/>
          <w:sz w:val="20"/>
          <w:szCs w:val="20"/>
        </w:rPr>
        <w:t>s</w:t>
      </w:r>
      <w:r w:rsidRPr="003E73ED">
        <w:rPr>
          <w:rFonts w:cs="Arial"/>
          <w:sz w:val="20"/>
          <w:szCs w:val="20"/>
        </w:rPr>
        <w:t xml:space="preserve"> with eligibility for reappointme</w:t>
      </w:r>
      <w:r w:rsidRPr="007B26CB">
        <w:rPr>
          <w:rFonts w:cs="Arial"/>
          <w:sz w:val="20"/>
          <w:szCs w:val="20"/>
        </w:rPr>
        <w:t>nt.</w:t>
      </w:r>
      <w:r w:rsidR="00BC1B38" w:rsidRPr="007B26CB">
        <w:rPr>
          <w:color w:val="000000"/>
          <w:sz w:val="20"/>
          <w:szCs w:val="20"/>
        </w:rPr>
        <w:t xml:space="preserve"> </w:t>
      </w:r>
      <w:r w:rsidR="007B26CB" w:rsidRPr="007B26CB">
        <w:rPr>
          <w:sz w:val="20"/>
          <w:szCs w:val="20"/>
        </w:rPr>
        <w:t>Appointments are expected to commence July 2016.</w:t>
      </w:r>
    </w:p>
    <w:p w:rsidR="00EE3D1F" w:rsidRPr="00EE3D1F" w:rsidRDefault="00EE3D1F" w:rsidP="00EE3D1F">
      <w:pPr>
        <w:pStyle w:val="AHPRAbody"/>
        <w:rPr>
          <w:color w:val="000000"/>
          <w:szCs w:val="20"/>
        </w:rPr>
      </w:pPr>
      <w:r w:rsidRPr="00587A9D">
        <w:rPr>
          <w:color w:val="000000"/>
          <w:szCs w:val="20"/>
          <w:lang w:val="en-US"/>
        </w:rPr>
        <w:t>Currently appointed members on th</w:t>
      </w:r>
      <w:r>
        <w:rPr>
          <w:color w:val="000000"/>
          <w:szCs w:val="20"/>
          <w:lang w:val="en-US"/>
        </w:rPr>
        <w:t>e Committee</w:t>
      </w:r>
      <w:r w:rsidRPr="00587A9D">
        <w:rPr>
          <w:color w:val="000000"/>
          <w:szCs w:val="20"/>
          <w:lang w:val="en-US"/>
        </w:rPr>
        <w:t xml:space="preserve"> are eligible to express their interest in </w:t>
      </w:r>
      <w:r>
        <w:rPr>
          <w:color w:val="000000"/>
          <w:szCs w:val="20"/>
          <w:lang w:val="en-US"/>
        </w:rPr>
        <w:t>reappointment</w:t>
      </w:r>
      <w:r w:rsidRPr="00587A9D">
        <w:rPr>
          <w:color w:val="000000"/>
          <w:szCs w:val="20"/>
          <w:lang w:val="en-US"/>
        </w:rPr>
        <w:t>.</w:t>
      </w:r>
    </w:p>
    <w:p w:rsidR="00A21BAE" w:rsidRPr="00AD7749" w:rsidRDefault="00A21BAE" w:rsidP="00A21BAE">
      <w:pPr>
        <w:pStyle w:val="AHPRASubheadinglevel2"/>
      </w:pPr>
      <w:r w:rsidRPr="00AD7749">
        <w:t>AHPRA</w:t>
      </w:r>
    </w:p>
    <w:p w:rsidR="00A21BAE" w:rsidRPr="00AD7749" w:rsidRDefault="00A21BAE" w:rsidP="00A21BAE">
      <w:pPr>
        <w:pStyle w:val="AHPRAbody"/>
      </w:pPr>
      <w:r>
        <w:t>AHPRA</w:t>
      </w:r>
      <w:r w:rsidRPr="00AD7749">
        <w:t xml:space="preserve"> supports the National Boards in managing the registration and notifications for health practitioners and students across Australia.</w:t>
      </w:r>
      <w:r w:rsidR="00CD52EC">
        <w:t xml:space="preserve"> </w:t>
      </w:r>
      <w:r w:rsidRPr="00AD7749">
        <w:t xml:space="preserve">AHPRA has a </w:t>
      </w:r>
      <w:r>
        <w:t>n</w:t>
      </w:r>
      <w:r w:rsidRPr="00AD7749">
        <w:t xml:space="preserve">ational office based in Melbourne and offices in every </w:t>
      </w:r>
      <w:r>
        <w:t>s</w:t>
      </w:r>
      <w:r w:rsidRPr="00AD7749">
        <w:t xml:space="preserve">tate and </w:t>
      </w:r>
      <w:r>
        <w:t>t</w:t>
      </w:r>
      <w:r w:rsidRPr="00AD7749">
        <w:t>erritory to support local boards and committees.</w:t>
      </w:r>
    </w:p>
    <w:p w:rsidR="00A21BAE" w:rsidRPr="007254A7" w:rsidRDefault="00A21BAE" w:rsidP="00A21BAE">
      <w:pPr>
        <w:pStyle w:val="AHPRASubheadinglevel2"/>
      </w:pPr>
      <w:r w:rsidRPr="007254A7">
        <w:t>National Boards</w:t>
      </w:r>
    </w:p>
    <w:p w:rsidR="00A21BAE" w:rsidRPr="00AD7749" w:rsidRDefault="00A21BAE" w:rsidP="00A21BAE">
      <w:pPr>
        <w:pStyle w:val="AHPRAbody"/>
      </w:pPr>
      <w:r w:rsidRPr="00AD7749">
        <w:t xml:space="preserve">The following </w:t>
      </w:r>
      <w:r>
        <w:t>14</w:t>
      </w:r>
      <w:r w:rsidRPr="00AD7749">
        <w:t xml:space="preserve"> National Boards regulate the corresponding health professions under the </w:t>
      </w:r>
      <w:r>
        <w:rPr>
          <w:szCs w:val="20"/>
        </w:rPr>
        <w:t xml:space="preserve">Health Practitioner Regulation </w:t>
      </w:r>
      <w:r w:rsidRPr="00AD7749">
        <w:t>National Law:</w:t>
      </w:r>
    </w:p>
    <w:p w:rsidR="00A21BAE" w:rsidRDefault="00A21BAE" w:rsidP="00A21BAE">
      <w:pPr>
        <w:pStyle w:val="AHPRABulletlevel1"/>
        <w:ind w:left="720"/>
      </w:pPr>
      <w:r w:rsidRPr="00283D24">
        <w:t>Aboriginal and Torres Strait Islander Health Practice Board of Australia</w:t>
      </w:r>
      <w:r w:rsidRPr="00AD7749">
        <w:t xml:space="preserve"> </w:t>
      </w:r>
    </w:p>
    <w:p w:rsidR="00A21BAE" w:rsidRDefault="00A21BAE" w:rsidP="00A21BAE">
      <w:pPr>
        <w:pStyle w:val="AHPRABulletlevel1"/>
        <w:ind w:left="720"/>
      </w:pPr>
      <w:r w:rsidRPr="00283D24">
        <w:t>Chinese Medicine Board of Australia</w:t>
      </w:r>
      <w:r w:rsidRPr="00AD7749">
        <w:t xml:space="preserve"> </w:t>
      </w:r>
    </w:p>
    <w:p w:rsidR="00A21BAE" w:rsidRDefault="00A21BAE" w:rsidP="00A21BAE">
      <w:pPr>
        <w:pStyle w:val="AHPRABulletlevel1"/>
        <w:ind w:left="720"/>
      </w:pPr>
      <w:r>
        <w:t xml:space="preserve">Chiropractic </w:t>
      </w:r>
      <w:r w:rsidRPr="00AD7749">
        <w:t>Board of Australia</w:t>
      </w:r>
      <w:r>
        <w:t xml:space="preserve"> </w:t>
      </w:r>
    </w:p>
    <w:p w:rsidR="00A21BAE" w:rsidRPr="00190951" w:rsidRDefault="00A21BAE" w:rsidP="00A21BAE">
      <w:pPr>
        <w:pStyle w:val="AHPRABulletlevel1"/>
        <w:ind w:left="720"/>
      </w:pPr>
      <w:r w:rsidRPr="00190951">
        <w:t>Dental Board of Australia</w:t>
      </w:r>
    </w:p>
    <w:p w:rsidR="00A21BAE" w:rsidRPr="00190951" w:rsidRDefault="00A21BAE" w:rsidP="00A21BAE">
      <w:pPr>
        <w:pStyle w:val="AHPRABulletlevel1"/>
        <w:ind w:left="720"/>
      </w:pPr>
      <w:r w:rsidRPr="00190951">
        <w:t>Medical Board of Australia</w:t>
      </w:r>
    </w:p>
    <w:p w:rsidR="00A21BAE" w:rsidRPr="00283D24" w:rsidRDefault="00A21BAE" w:rsidP="00A21BAE">
      <w:pPr>
        <w:pStyle w:val="AHPRABulletlevel1"/>
        <w:ind w:left="720"/>
      </w:pPr>
      <w:r>
        <w:t>Medical Radiation Practice Board of Australia</w:t>
      </w:r>
    </w:p>
    <w:p w:rsidR="00A21BAE" w:rsidRPr="00AD7749" w:rsidRDefault="00A21BAE" w:rsidP="00A21BAE">
      <w:pPr>
        <w:pStyle w:val="AHPRABulletlevel1"/>
        <w:ind w:left="720"/>
      </w:pPr>
      <w:r w:rsidRPr="00AD7749">
        <w:t>Nursing and Midwifery Board of Australia</w:t>
      </w:r>
    </w:p>
    <w:p w:rsidR="00A21BAE" w:rsidRDefault="00A21BAE" w:rsidP="00A21BAE">
      <w:pPr>
        <w:pStyle w:val="AHPRABulletlevel1"/>
        <w:ind w:left="720"/>
      </w:pPr>
      <w:r w:rsidRPr="00283D24">
        <w:t>Occupational Therapy Board of Australia</w:t>
      </w:r>
      <w:r w:rsidRPr="00AD7749">
        <w:t xml:space="preserve"> </w:t>
      </w:r>
    </w:p>
    <w:p w:rsidR="00A21BAE" w:rsidRPr="00AD7749" w:rsidRDefault="00A21BAE" w:rsidP="00A21BAE">
      <w:pPr>
        <w:pStyle w:val="AHPRABulletlevel1"/>
        <w:ind w:left="720"/>
      </w:pPr>
      <w:r w:rsidRPr="00AD7749">
        <w:t>Optometry Board of Australia</w:t>
      </w:r>
    </w:p>
    <w:p w:rsidR="00A21BAE" w:rsidRPr="00AD7749" w:rsidRDefault="00A21BAE" w:rsidP="00A21BAE">
      <w:pPr>
        <w:pStyle w:val="AHPRABulletlevel1"/>
        <w:ind w:left="720"/>
      </w:pPr>
      <w:r w:rsidRPr="00AD7749">
        <w:t>Osteopathy Board of Australia</w:t>
      </w:r>
    </w:p>
    <w:p w:rsidR="00A21BAE" w:rsidRPr="00AD7749" w:rsidRDefault="00A21BAE" w:rsidP="00A21BAE">
      <w:pPr>
        <w:pStyle w:val="AHPRABulletlevel1"/>
        <w:ind w:left="720"/>
      </w:pPr>
      <w:r>
        <w:t xml:space="preserve">Pharmacy </w:t>
      </w:r>
      <w:r w:rsidRPr="00AD7749">
        <w:t>Board of Australia</w:t>
      </w:r>
    </w:p>
    <w:p w:rsidR="00A21BAE" w:rsidRPr="00AD7749" w:rsidRDefault="00A21BAE" w:rsidP="00A21BAE">
      <w:pPr>
        <w:pStyle w:val="AHPRABulletlevel1"/>
        <w:ind w:left="720"/>
      </w:pPr>
      <w:r w:rsidRPr="00AD7749">
        <w:t>Physiotherapy Board of Australia</w:t>
      </w:r>
    </w:p>
    <w:p w:rsidR="00A21BAE" w:rsidRDefault="00A21BAE" w:rsidP="00A21BAE">
      <w:pPr>
        <w:pStyle w:val="AHPRABulletlevel1"/>
        <w:ind w:left="720"/>
      </w:pPr>
      <w:r w:rsidRPr="00AD7749">
        <w:t>Podiatry Board of Australia</w:t>
      </w:r>
    </w:p>
    <w:p w:rsidR="00346B6F" w:rsidRDefault="00A21BAE" w:rsidP="00346B6F">
      <w:pPr>
        <w:pStyle w:val="AHPRABulletlevel1"/>
        <w:ind w:left="720"/>
      </w:pPr>
      <w:r w:rsidRPr="00AD7749">
        <w:t>Psychology Board of Australia</w:t>
      </w:r>
    </w:p>
    <w:p w:rsidR="00487668" w:rsidRDefault="00487668" w:rsidP="00487668">
      <w:pPr>
        <w:pStyle w:val="AHPRABulletlevel1"/>
        <w:numPr>
          <w:ilvl w:val="0"/>
          <w:numId w:val="0"/>
        </w:numPr>
        <w:ind w:left="360" w:hanging="360"/>
      </w:pPr>
    </w:p>
    <w:p w:rsidR="00487668" w:rsidRDefault="003A5199" w:rsidP="00F73594">
      <w:pPr>
        <w:pStyle w:val="AHPRABulletlevel1"/>
        <w:numPr>
          <w:ilvl w:val="0"/>
          <w:numId w:val="0"/>
        </w:numPr>
      </w:pPr>
      <w:r w:rsidRPr="00812E4A">
        <w:rPr>
          <w:rFonts w:eastAsia="Times New Roman"/>
          <w:color w:val="000000"/>
          <w:szCs w:val="20"/>
        </w:rPr>
        <w:t xml:space="preserve">Under the National Law </w:t>
      </w:r>
      <w:r>
        <w:rPr>
          <w:rFonts w:eastAsia="Times New Roman"/>
          <w:color w:val="000000"/>
          <w:szCs w:val="20"/>
        </w:rPr>
        <w:t>each national board</w:t>
      </w:r>
      <w:r w:rsidRPr="00812E4A">
        <w:rPr>
          <w:rFonts w:eastAsia="Times New Roman"/>
          <w:color w:val="000000"/>
          <w:szCs w:val="20"/>
        </w:rPr>
        <w:t xml:space="preserve"> must decide whether their accreditation function is to be exercised by an external accreditation entity or a committee established by the national board.</w:t>
      </w:r>
    </w:p>
    <w:p w:rsidR="008162CD" w:rsidRDefault="00313814" w:rsidP="001B777A">
      <w:pPr>
        <w:pStyle w:val="AHPRASubheading"/>
      </w:pPr>
      <w:r>
        <w:t xml:space="preserve">Accreditation </w:t>
      </w:r>
      <w:r w:rsidR="005D57B1">
        <w:t>Committee</w:t>
      </w:r>
      <w:r w:rsidR="00D06809" w:rsidRPr="00346B6F">
        <w:t xml:space="preserve"> </w:t>
      </w:r>
    </w:p>
    <w:p w:rsidR="001B777A" w:rsidRPr="00477700" w:rsidRDefault="001B777A" w:rsidP="001B777A">
      <w:pPr>
        <w:pStyle w:val="AHPRASubheadinglevel2"/>
      </w:pPr>
      <w:r>
        <w:t>Functions of the Committee</w:t>
      </w:r>
      <w:r w:rsidRPr="00346B6F">
        <w:t xml:space="preserve"> </w:t>
      </w:r>
      <w:r w:rsidRPr="00BC1B38">
        <w:rPr>
          <w:rFonts w:cs="Arial"/>
          <w:color w:val="000000"/>
          <w:szCs w:val="20"/>
        </w:rPr>
        <w:t xml:space="preserve"> </w:t>
      </w:r>
    </w:p>
    <w:p w:rsidR="001B777A" w:rsidRPr="00BC1B38" w:rsidRDefault="001B777A" w:rsidP="001B777A">
      <w:pPr>
        <w:autoSpaceDE w:val="0"/>
        <w:autoSpaceDN w:val="0"/>
        <w:adjustRightInd w:val="0"/>
        <w:spacing w:after="120"/>
        <w:rPr>
          <w:rFonts w:cs="Arial"/>
          <w:color w:val="000000"/>
          <w:sz w:val="20"/>
          <w:szCs w:val="20"/>
        </w:rPr>
      </w:pPr>
      <w:r w:rsidRPr="00BC1B38">
        <w:rPr>
          <w:rFonts w:cs="Arial"/>
          <w:color w:val="000000"/>
          <w:sz w:val="20"/>
          <w:szCs w:val="20"/>
        </w:rPr>
        <w:t>The Commit</w:t>
      </w:r>
      <w:r>
        <w:rPr>
          <w:rFonts w:cs="Arial"/>
          <w:color w:val="000000"/>
          <w:sz w:val="20"/>
          <w:szCs w:val="20"/>
        </w:rPr>
        <w:t>tee</w:t>
      </w:r>
      <w:r w:rsidRPr="00BC1B38">
        <w:rPr>
          <w:rFonts w:cs="Arial"/>
          <w:color w:val="000000"/>
          <w:sz w:val="20"/>
          <w:szCs w:val="20"/>
        </w:rPr>
        <w:t xml:space="preserve"> is established by the Board </w:t>
      </w:r>
      <w:r w:rsidR="001031DF">
        <w:rPr>
          <w:rFonts w:cs="Arial"/>
          <w:color w:val="000000"/>
          <w:sz w:val="20"/>
          <w:szCs w:val="20"/>
        </w:rPr>
        <w:t xml:space="preserve">as the accreditation authority for Chinese medicine under section 43 of the National Law.  </w:t>
      </w:r>
    </w:p>
    <w:p w:rsidR="001B777A" w:rsidRPr="00BC1B38" w:rsidRDefault="001B777A" w:rsidP="001B777A">
      <w:pPr>
        <w:autoSpaceDE w:val="0"/>
        <w:autoSpaceDN w:val="0"/>
        <w:adjustRightInd w:val="0"/>
        <w:spacing w:after="120"/>
        <w:rPr>
          <w:rFonts w:cs="Arial"/>
          <w:color w:val="000000"/>
          <w:sz w:val="20"/>
          <w:szCs w:val="20"/>
        </w:rPr>
      </w:pPr>
      <w:r w:rsidRPr="00BC1B38">
        <w:rPr>
          <w:rFonts w:cs="Arial"/>
          <w:color w:val="000000"/>
          <w:sz w:val="20"/>
          <w:szCs w:val="20"/>
        </w:rPr>
        <w:t xml:space="preserve">The Committee </w:t>
      </w:r>
      <w:r w:rsidR="0019226A">
        <w:rPr>
          <w:rFonts w:cs="Arial"/>
          <w:color w:val="000000"/>
          <w:sz w:val="20"/>
          <w:szCs w:val="20"/>
        </w:rPr>
        <w:t>undertakes</w:t>
      </w:r>
      <w:r w:rsidR="0019226A" w:rsidRPr="00BC1B38">
        <w:rPr>
          <w:rFonts w:cs="Arial"/>
          <w:color w:val="000000"/>
          <w:sz w:val="20"/>
          <w:szCs w:val="20"/>
        </w:rPr>
        <w:t xml:space="preserve"> </w:t>
      </w:r>
      <w:r w:rsidRPr="00BC1B38">
        <w:rPr>
          <w:rFonts w:cs="Arial"/>
          <w:color w:val="000000"/>
          <w:sz w:val="20"/>
          <w:szCs w:val="20"/>
        </w:rPr>
        <w:t>the fol</w:t>
      </w:r>
      <w:r w:rsidR="00B5238B">
        <w:rPr>
          <w:rFonts w:cs="Arial"/>
          <w:color w:val="000000"/>
          <w:sz w:val="20"/>
          <w:szCs w:val="20"/>
        </w:rPr>
        <w:t>lowing functions</w:t>
      </w:r>
      <w:r w:rsidR="0019226A">
        <w:rPr>
          <w:rFonts w:cs="Arial"/>
          <w:color w:val="000000"/>
          <w:sz w:val="20"/>
          <w:szCs w:val="20"/>
        </w:rPr>
        <w:t xml:space="preserve"> under Part 6 of the National Law</w:t>
      </w:r>
      <w:r w:rsidR="00B5238B">
        <w:rPr>
          <w:rFonts w:cs="Arial"/>
          <w:color w:val="000000"/>
          <w:sz w:val="20"/>
          <w:szCs w:val="20"/>
        </w:rPr>
        <w:t>:</w:t>
      </w:r>
    </w:p>
    <w:p w:rsidR="003F6ADA" w:rsidRPr="009B63B5" w:rsidRDefault="003F6ADA" w:rsidP="003F6ADA">
      <w:pPr>
        <w:pStyle w:val="AHPRANumberedlistlevel1"/>
        <w:numPr>
          <w:ilvl w:val="0"/>
          <w:numId w:val="17"/>
        </w:numPr>
        <w:rPr>
          <w:szCs w:val="20"/>
        </w:rPr>
      </w:pPr>
      <w:r w:rsidRPr="009B63B5">
        <w:rPr>
          <w:szCs w:val="20"/>
        </w:rPr>
        <w:t>develop and review accreditation standards</w:t>
      </w:r>
    </w:p>
    <w:p w:rsidR="003F6ADA" w:rsidRPr="009B63B5" w:rsidRDefault="003F6ADA" w:rsidP="003F6ADA">
      <w:pPr>
        <w:pStyle w:val="AHPRANumberedlistlevel1"/>
        <w:numPr>
          <w:ilvl w:val="0"/>
          <w:numId w:val="17"/>
        </w:numPr>
        <w:rPr>
          <w:szCs w:val="20"/>
        </w:rPr>
      </w:pPr>
      <w:r w:rsidRPr="009B63B5">
        <w:rPr>
          <w:szCs w:val="20"/>
        </w:rPr>
        <w:t>assess programs of study</w:t>
      </w:r>
    </w:p>
    <w:p w:rsidR="003F6ADA" w:rsidRPr="009B63B5" w:rsidRDefault="003F6ADA" w:rsidP="003F6ADA">
      <w:pPr>
        <w:pStyle w:val="AHPRANumberedlistlevel1"/>
        <w:numPr>
          <w:ilvl w:val="0"/>
          <w:numId w:val="17"/>
        </w:numPr>
        <w:rPr>
          <w:szCs w:val="20"/>
        </w:rPr>
      </w:pPr>
      <w:r w:rsidRPr="009B63B5">
        <w:rPr>
          <w:szCs w:val="20"/>
        </w:rPr>
        <w:t>monitor programs of study and education providers to ensure they continue to meet accreditation standards</w:t>
      </w:r>
    </w:p>
    <w:p w:rsidR="003F6ADA" w:rsidRPr="009B63B5" w:rsidRDefault="003F6ADA" w:rsidP="003F6ADA">
      <w:pPr>
        <w:pStyle w:val="AHPRANumberedlistlevel1"/>
        <w:numPr>
          <w:ilvl w:val="0"/>
          <w:numId w:val="17"/>
        </w:numPr>
        <w:rPr>
          <w:szCs w:val="20"/>
        </w:rPr>
      </w:pPr>
      <w:r w:rsidRPr="009B63B5">
        <w:rPr>
          <w:szCs w:val="20"/>
        </w:rPr>
        <w:t>advise the Board on issues in education and clinical training which may impact on Chinese medicine practice and the conduct of study programs</w:t>
      </w:r>
    </w:p>
    <w:p w:rsidR="003F6ADA" w:rsidRPr="009B63B5" w:rsidRDefault="003F6ADA" w:rsidP="003F6ADA">
      <w:pPr>
        <w:pStyle w:val="AHPRANumberedlistlevel1"/>
        <w:numPr>
          <w:ilvl w:val="0"/>
          <w:numId w:val="17"/>
        </w:numPr>
        <w:rPr>
          <w:szCs w:val="20"/>
        </w:rPr>
      </w:pPr>
      <w:r w:rsidRPr="009B63B5">
        <w:rPr>
          <w:szCs w:val="20"/>
        </w:rPr>
        <w:t>oversee the assessment of the knowledge, clinical skills and professional attributes of overseas qualified Chinese medicine practitioners seeking registration in Australia, and</w:t>
      </w:r>
    </w:p>
    <w:p w:rsidR="001B777A" w:rsidRPr="009B63B5" w:rsidRDefault="003F6ADA" w:rsidP="003F6ADA">
      <w:pPr>
        <w:pStyle w:val="AHPRANumberedlistlevel1"/>
        <w:numPr>
          <w:ilvl w:val="0"/>
          <w:numId w:val="17"/>
        </w:numPr>
        <w:rPr>
          <w:szCs w:val="20"/>
        </w:rPr>
      </w:pPr>
      <w:r w:rsidRPr="009B63B5">
        <w:rPr>
          <w:szCs w:val="20"/>
        </w:rPr>
        <w:t>consider other matters as requested by the Board.</w:t>
      </w:r>
    </w:p>
    <w:p w:rsidR="003F6ADA" w:rsidRPr="003F6ADA" w:rsidRDefault="003F6ADA" w:rsidP="003F6ADA">
      <w:pPr>
        <w:pStyle w:val="AHPRANumberedlistlevel1"/>
        <w:numPr>
          <w:ilvl w:val="0"/>
          <w:numId w:val="0"/>
        </w:numPr>
        <w:ind w:left="369"/>
      </w:pPr>
    </w:p>
    <w:p w:rsidR="00F73594" w:rsidRDefault="00F73594">
      <w:pPr>
        <w:spacing w:after="0"/>
        <w:rPr>
          <w:rFonts w:cs="Arial"/>
          <w:b/>
          <w:sz w:val="20"/>
        </w:rPr>
      </w:pPr>
      <w:r>
        <w:br w:type="page"/>
      </w:r>
    </w:p>
    <w:p w:rsidR="001B777A" w:rsidRDefault="001B777A" w:rsidP="001B777A">
      <w:pPr>
        <w:pStyle w:val="AHPRAbodybold"/>
      </w:pPr>
      <w:r>
        <w:t>What is involved?</w:t>
      </w:r>
    </w:p>
    <w:p w:rsidR="00F73594" w:rsidRDefault="0019226A" w:rsidP="00F73594">
      <w:pPr>
        <w:pStyle w:val="AHPRAbody"/>
      </w:pPr>
      <w:r>
        <w:t>Committee m</w:t>
      </w:r>
      <w:r w:rsidRPr="00EA740D">
        <w:t xml:space="preserve">eetings </w:t>
      </w:r>
      <w:r w:rsidR="006022E5" w:rsidRPr="00EA740D">
        <w:t>will be scheduled as required and be either face-to-face or held by teleconference</w:t>
      </w:r>
      <w:r>
        <w:t xml:space="preserve"> during working hours</w:t>
      </w:r>
      <w:r w:rsidR="006022E5" w:rsidRPr="00EA740D">
        <w:t>. Generally, t</w:t>
      </w:r>
      <w:r w:rsidR="001B777A" w:rsidRPr="00EA740D">
        <w:t xml:space="preserve">he Committee meets </w:t>
      </w:r>
      <w:r w:rsidR="00EA740D">
        <w:t xml:space="preserve">quarterly </w:t>
      </w:r>
      <w:r w:rsidR="001B777A" w:rsidRPr="00EA740D">
        <w:t xml:space="preserve">for a </w:t>
      </w:r>
      <w:r w:rsidR="00EA740D">
        <w:t>face-to-face all day meeting.</w:t>
      </w:r>
    </w:p>
    <w:p w:rsidR="001B777A" w:rsidRDefault="001B777A" w:rsidP="001B777A">
      <w:pPr>
        <w:pStyle w:val="AHPRAbodybold"/>
      </w:pPr>
      <w:r>
        <w:t>Membership</w:t>
      </w:r>
    </w:p>
    <w:p w:rsidR="001F769A" w:rsidRPr="00223C62" w:rsidRDefault="001F769A" w:rsidP="00EE3D1F">
      <w:pPr>
        <w:pStyle w:val="AHPRAbody"/>
        <w:spacing w:after="120"/>
      </w:pPr>
      <w:r>
        <w:t>The C</w:t>
      </w:r>
      <w:r w:rsidRPr="00223C62">
        <w:t>ommittee will consist of at least five members including:</w:t>
      </w:r>
    </w:p>
    <w:p w:rsidR="001F769A" w:rsidRPr="00223C62" w:rsidRDefault="001F769A" w:rsidP="001F769A">
      <w:pPr>
        <w:pStyle w:val="AHPRABulletlevel1"/>
        <w:ind w:left="369" w:hanging="369"/>
        <w:rPr>
          <w:lang w:eastAsia="en-AU"/>
        </w:rPr>
      </w:pPr>
      <w:r w:rsidRPr="00223C62">
        <w:rPr>
          <w:lang w:eastAsia="en-AU"/>
        </w:rPr>
        <w:t>at least one member with relevant expertise in</w:t>
      </w:r>
      <w:r w:rsidR="003A5199">
        <w:rPr>
          <w:lang w:eastAsia="en-AU"/>
        </w:rPr>
        <w:t xml:space="preserve"> Australian</w:t>
      </w:r>
      <w:r w:rsidRPr="00223C62">
        <w:rPr>
          <w:lang w:eastAsia="en-AU"/>
        </w:rPr>
        <w:t xml:space="preserve"> </w:t>
      </w:r>
      <w:r w:rsidR="003A5199">
        <w:rPr>
          <w:lang w:eastAsia="en-AU"/>
        </w:rPr>
        <w:t xml:space="preserve">higher </w:t>
      </w:r>
      <w:r w:rsidRPr="00223C62">
        <w:rPr>
          <w:lang w:eastAsia="en-AU"/>
        </w:rPr>
        <w:t>education</w:t>
      </w:r>
    </w:p>
    <w:p w:rsidR="001F769A" w:rsidRPr="00223C62" w:rsidRDefault="001F769A" w:rsidP="001F769A">
      <w:pPr>
        <w:pStyle w:val="AHPRABulletlevel1"/>
        <w:ind w:left="369" w:hanging="369"/>
        <w:rPr>
          <w:lang w:eastAsia="en-AU"/>
        </w:rPr>
      </w:pPr>
      <w:r w:rsidRPr="00223C62">
        <w:rPr>
          <w:lang w:eastAsia="en-AU"/>
        </w:rPr>
        <w:t>at leas</w:t>
      </w:r>
      <w:r w:rsidR="00EE3D1F">
        <w:rPr>
          <w:lang w:eastAsia="en-AU"/>
        </w:rPr>
        <w:t xml:space="preserve">t one </w:t>
      </w:r>
      <w:r w:rsidR="003A5199">
        <w:rPr>
          <w:lang w:eastAsia="en-AU"/>
        </w:rPr>
        <w:t>member holding an academic position in Chinese medicine at an Australian higher education institution</w:t>
      </w:r>
      <w:r w:rsidR="00EE3D1F">
        <w:rPr>
          <w:lang w:eastAsia="en-AU"/>
        </w:rPr>
        <w:t>, and</w:t>
      </w:r>
    </w:p>
    <w:p w:rsidR="001F769A" w:rsidRPr="00223C62" w:rsidRDefault="001F769A" w:rsidP="001F769A">
      <w:pPr>
        <w:pStyle w:val="AHPRABulletlevel1last"/>
        <w:ind w:left="369" w:hanging="369"/>
        <w:rPr>
          <w:lang w:eastAsia="en-AU"/>
        </w:rPr>
      </w:pPr>
      <w:r w:rsidRPr="00223C62">
        <w:rPr>
          <w:lang w:eastAsia="en-AU"/>
        </w:rPr>
        <w:t>at least one Chinese medicine practitioner with experience in clinical teaching</w:t>
      </w:r>
      <w:r w:rsidR="003A5199">
        <w:rPr>
          <w:lang w:eastAsia="en-AU"/>
        </w:rPr>
        <w:t xml:space="preserve"> in Chinese medicine at an Australian higher education institution</w:t>
      </w:r>
      <w:r w:rsidR="00EE3D1F">
        <w:rPr>
          <w:lang w:eastAsia="en-AU"/>
        </w:rPr>
        <w:t>.</w:t>
      </w:r>
    </w:p>
    <w:p w:rsidR="00587A9D" w:rsidRPr="00EE3D1F" w:rsidRDefault="001F769A" w:rsidP="00EE3D1F">
      <w:pPr>
        <w:pStyle w:val="AHPRAbody"/>
        <w:rPr>
          <w:color w:val="000000"/>
          <w:szCs w:val="20"/>
          <w:lang w:val="en-US"/>
        </w:rPr>
      </w:pPr>
      <w:r w:rsidRPr="00223C62">
        <w:t>The Board will appoin</w:t>
      </w:r>
      <w:r>
        <w:t>t one of the members to be the Chair of the Committee and one as Deputy C</w:t>
      </w:r>
      <w:r w:rsidR="00587A9D">
        <w:t xml:space="preserve">hair. </w:t>
      </w:r>
      <w:r w:rsidR="00587A9D">
        <w:rPr>
          <w:color w:val="000000"/>
          <w:szCs w:val="20"/>
          <w:lang w:val="en-US"/>
        </w:rPr>
        <w:t>A</w:t>
      </w:r>
      <w:r w:rsidR="00587A9D" w:rsidRPr="00587A9D">
        <w:rPr>
          <w:color w:val="000000"/>
          <w:szCs w:val="20"/>
          <w:lang w:val="en-US"/>
        </w:rPr>
        <w:t>pplicants may express interest in also being considered for the</w:t>
      </w:r>
      <w:r w:rsidR="00587A9D">
        <w:rPr>
          <w:color w:val="000000"/>
          <w:szCs w:val="20"/>
          <w:lang w:val="en-US"/>
        </w:rPr>
        <w:t>se</w:t>
      </w:r>
      <w:r w:rsidR="00587A9D" w:rsidRPr="00587A9D">
        <w:rPr>
          <w:color w:val="000000"/>
          <w:szCs w:val="20"/>
          <w:lang w:val="en-US"/>
        </w:rPr>
        <w:t xml:space="preserve"> role</w:t>
      </w:r>
      <w:r w:rsidR="00587A9D">
        <w:rPr>
          <w:color w:val="000000"/>
          <w:szCs w:val="20"/>
          <w:lang w:val="en-US"/>
        </w:rPr>
        <w:t>s</w:t>
      </w:r>
      <w:r w:rsidR="00587A9D" w:rsidRPr="00587A9D">
        <w:rPr>
          <w:color w:val="000000"/>
          <w:szCs w:val="20"/>
          <w:lang w:val="en-US"/>
        </w:rPr>
        <w:t>.</w:t>
      </w:r>
    </w:p>
    <w:p w:rsidR="008162CD" w:rsidRDefault="00D06809" w:rsidP="00B4152F">
      <w:pPr>
        <w:pStyle w:val="AHPRASubheadinglevel2"/>
      </w:pPr>
      <w:r w:rsidRPr="00FE72B0">
        <w:t>Selection criteria</w:t>
      </w:r>
    </w:p>
    <w:p w:rsidR="00313814" w:rsidRPr="00F90385" w:rsidRDefault="00313814" w:rsidP="00EE3D1F">
      <w:pPr>
        <w:autoSpaceDE w:val="0"/>
        <w:autoSpaceDN w:val="0"/>
        <w:adjustRightInd w:val="0"/>
        <w:spacing w:after="120"/>
        <w:rPr>
          <w:rFonts w:cs="Arial"/>
          <w:color w:val="000000"/>
          <w:sz w:val="20"/>
          <w:szCs w:val="20"/>
        </w:rPr>
      </w:pPr>
      <w:r w:rsidRPr="00F90385">
        <w:rPr>
          <w:rFonts w:cs="Arial"/>
          <w:color w:val="000000"/>
          <w:sz w:val="20"/>
          <w:szCs w:val="20"/>
        </w:rPr>
        <w:t>Accreditation Committee members</w:t>
      </w:r>
      <w:r w:rsidR="002B62E1" w:rsidRPr="00F90385">
        <w:rPr>
          <w:rFonts w:cs="Arial"/>
          <w:color w:val="000000"/>
          <w:sz w:val="20"/>
          <w:szCs w:val="20"/>
        </w:rPr>
        <w:t xml:space="preserve"> should </w:t>
      </w:r>
      <w:r w:rsidR="003A5199">
        <w:rPr>
          <w:rFonts w:cs="Arial"/>
          <w:color w:val="000000"/>
          <w:sz w:val="20"/>
          <w:szCs w:val="20"/>
        </w:rPr>
        <w:t xml:space="preserve">address </w:t>
      </w:r>
      <w:r w:rsidR="00B4152F" w:rsidRPr="00F90385">
        <w:rPr>
          <w:rFonts w:cs="Arial"/>
          <w:color w:val="000000"/>
          <w:sz w:val="20"/>
          <w:szCs w:val="20"/>
        </w:rPr>
        <w:t>the following</w:t>
      </w:r>
      <w:r w:rsidR="003A5199">
        <w:rPr>
          <w:rFonts w:cs="Arial"/>
          <w:color w:val="000000"/>
          <w:sz w:val="20"/>
          <w:szCs w:val="20"/>
        </w:rPr>
        <w:t xml:space="preserve"> areas</w:t>
      </w:r>
      <w:r w:rsidR="002B62E1" w:rsidRPr="00F90385">
        <w:rPr>
          <w:rFonts w:cs="Arial"/>
          <w:color w:val="000000"/>
          <w:sz w:val="20"/>
          <w:szCs w:val="20"/>
        </w:rPr>
        <w:t>:</w:t>
      </w:r>
    </w:p>
    <w:p w:rsidR="00B33267" w:rsidRPr="00F90385" w:rsidRDefault="00B33267" w:rsidP="00EE3D1F">
      <w:pPr>
        <w:pStyle w:val="AHPRABulletlevel1"/>
      </w:pPr>
      <w:r w:rsidRPr="00F90385">
        <w:t>experience</w:t>
      </w:r>
      <w:r w:rsidR="003A5199">
        <w:t>, qualifications</w:t>
      </w:r>
      <w:r w:rsidRPr="00F90385">
        <w:t xml:space="preserve"> </w:t>
      </w:r>
      <w:r w:rsidR="003A5199">
        <w:t>and/</w:t>
      </w:r>
      <w:r w:rsidRPr="00F90385">
        <w:t xml:space="preserve">or capability </w:t>
      </w:r>
      <w:r w:rsidR="003A5199">
        <w:t>relevant to</w:t>
      </w:r>
      <w:r w:rsidR="003A5199" w:rsidRPr="00F90385">
        <w:t xml:space="preserve"> </w:t>
      </w:r>
      <w:r w:rsidRPr="00F90385">
        <w:t>one or more of the membership categories listed above</w:t>
      </w:r>
    </w:p>
    <w:p w:rsidR="00313814" w:rsidRPr="00F90385" w:rsidRDefault="00B33267" w:rsidP="00EE3D1F">
      <w:pPr>
        <w:pStyle w:val="AHPRABulletlevel1"/>
      </w:pPr>
      <w:r w:rsidRPr="00F90385">
        <w:t>understanding of accreditation standards</w:t>
      </w:r>
    </w:p>
    <w:p w:rsidR="00D71C6E" w:rsidRPr="00F90385" w:rsidRDefault="00D71C6E" w:rsidP="00EE3D1F">
      <w:pPr>
        <w:pStyle w:val="AHPRABulletlevel1"/>
      </w:pPr>
      <w:r w:rsidRPr="00F90385">
        <w:t>understanding of the National Registration and Accreditation Scheme</w:t>
      </w:r>
    </w:p>
    <w:p w:rsidR="00B33267" w:rsidRPr="00F90385" w:rsidRDefault="00B33267" w:rsidP="00EE3D1F">
      <w:pPr>
        <w:pStyle w:val="AHPRABulletlevel1"/>
      </w:pPr>
      <w:r w:rsidRPr="00F90385">
        <w:t xml:space="preserve">familiarity with the </w:t>
      </w:r>
      <w:r w:rsidR="00B07D1A" w:rsidRPr="00F90385">
        <w:t>Chinese medicine</w:t>
      </w:r>
      <w:r w:rsidRPr="00F90385">
        <w:t xml:space="preserve"> profession</w:t>
      </w:r>
      <w:r w:rsidR="00985505">
        <w:t>, and</w:t>
      </w:r>
    </w:p>
    <w:p w:rsidR="00B33267" w:rsidRPr="00F90385" w:rsidRDefault="00B33267" w:rsidP="00EE3D1F">
      <w:pPr>
        <w:pStyle w:val="AHPRABulletlevel1"/>
      </w:pPr>
      <w:r w:rsidRPr="00F90385">
        <w:t>experience conducting reviews and documenting findings</w:t>
      </w:r>
      <w:r w:rsidR="00985505">
        <w:t>.</w:t>
      </w:r>
    </w:p>
    <w:p w:rsidR="008162CD" w:rsidRPr="00612F12" w:rsidRDefault="00612F12" w:rsidP="00612F12">
      <w:pPr>
        <w:pStyle w:val="AHPRASubheadinglevel3"/>
        <w:rPr>
          <w:rFonts w:cs="Arial"/>
          <w:color w:val="000000"/>
          <w:szCs w:val="20"/>
          <w:highlight w:val="yellow"/>
        </w:rPr>
      </w:pPr>
      <w:r>
        <w:t>A</w:t>
      </w:r>
      <w:r w:rsidR="00D06809" w:rsidRPr="00346B6F">
        <w:t>ttributes</w:t>
      </w:r>
    </w:p>
    <w:p w:rsidR="00612F12" w:rsidRDefault="00612F12" w:rsidP="00612F12">
      <w:pPr>
        <w:pStyle w:val="AHPRAbody"/>
        <w:rPr>
          <w:szCs w:val="20"/>
        </w:rPr>
      </w:pPr>
      <w:r w:rsidRPr="00AD7749">
        <w:t>In</w:t>
      </w:r>
      <w:r>
        <w:t xml:space="preserve"> addition to the selection criteria above, </w:t>
      </w:r>
      <w:r w:rsidRPr="00AD7749">
        <w:t xml:space="preserve">the </w:t>
      </w:r>
      <w:r>
        <w:t>Board will give regard to the following attributes:</w:t>
      </w:r>
    </w:p>
    <w:p w:rsidR="00612F12" w:rsidRPr="00E21F01" w:rsidRDefault="00612F12" w:rsidP="005A2BE5">
      <w:pPr>
        <w:pStyle w:val="AHPRANumberedlistlevel1"/>
      </w:pPr>
      <w:r>
        <w:rPr>
          <w:b/>
        </w:rPr>
        <w:t>Displays i</w:t>
      </w:r>
      <w:r w:rsidRPr="00E21F01">
        <w:rPr>
          <w:b/>
        </w:rPr>
        <w:t>ntegrity</w:t>
      </w:r>
      <w:r w:rsidRPr="00E21F01">
        <w:t>: is ethical, committed, diligent, prepared, organised, professional, principles-based and respectful, values diversity, and shows courage and independence.</w:t>
      </w:r>
    </w:p>
    <w:p w:rsidR="00612F12" w:rsidRPr="00E21F01" w:rsidRDefault="00612F12" w:rsidP="005A2BE5">
      <w:pPr>
        <w:pStyle w:val="AHPRANumberedlistlevel1"/>
      </w:pPr>
      <w:r w:rsidRPr="00E21F01">
        <w:rPr>
          <w:b/>
        </w:rPr>
        <w:t>Thinks critically</w:t>
      </w:r>
      <w:r w:rsidR="0089162B">
        <w:t>:</w:t>
      </w:r>
      <w:r w:rsidRPr="00E21F01">
        <w:t xml:space="preserve"> is objective and impartial, uses logical and analytical processes, distils the core of complex issues and weighs up options.</w:t>
      </w:r>
    </w:p>
    <w:p w:rsidR="00612F12" w:rsidRPr="00E21F01" w:rsidRDefault="00612F12" w:rsidP="005A2BE5">
      <w:pPr>
        <w:pStyle w:val="AHPRANumberedlistlevel1"/>
      </w:pPr>
      <w:r>
        <w:rPr>
          <w:b/>
        </w:rPr>
        <w:t>Applies e</w:t>
      </w:r>
      <w:r w:rsidRPr="00E21F01">
        <w:rPr>
          <w:b/>
        </w:rPr>
        <w:t>xpertise</w:t>
      </w:r>
      <w:r w:rsidRPr="00E21F01">
        <w:t>: actively applies relevant knowledge, skills and experience to contribute to decision-making.</w:t>
      </w:r>
    </w:p>
    <w:p w:rsidR="00612F12" w:rsidRPr="00E21F01" w:rsidRDefault="00612F12" w:rsidP="005A2BE5">
      <w:pPr>
        <w:pStyle w:val="AHPRANumberedlistlevel1"/>
      </w:pPr>
      <w:r w:rsidRPr="00E21F01">
        <w:rPr>
          <w:b/>
        </w:rPr>
        <w:t>Communicates constructively</w:t>
      </w:r>
      <w:r w:rsidR="0089162B">
        <w:t>: </w:t>
      </w:r>
      <w:r w:rsidRPr="00E21F01">
        <w:t>is articulate, persuasive and diplomatic, is self-aware and reflects on personal impact and effectiveness, listens and responds constructively to contributions from others.</w:t>
      </w:r>
    </w:p>
    <w:p w:rsidR="00612F12" w:rsidRPr="00E21F01" w:rsidRDefault="00612F12" w:rsidP="005A2BE5">
      <w:pPr>
        <w:pStyle w:val="AHPRANumberedlistlevel1"/>
      </w:pPr>
      <w:r w:rsidRPr="00E21F01">
        <w:rPr>
          <w:b/>
        </w:rPr>
        <w:t>Focuses strategically</w:t>
      </w:r>
      <w:r w:rsidRPr="00E21F01">
        <w:t>: takes a broad perspective, can see the big picture, and considers long term impacts.</w:t>
      </w:r>
    </w:p>
    <w:p w:rsidR="00612F12" w:rsidRDefault="00612F12" w:rsidP="005A2BE5">
      <w:pPr>
        <w:pStyle w:val="AHPRANumberedlistlevel1"/>
      </w:pPr>
      <w:r w:rsidRPr="00E21F01">
        <w:rPr>
          <w:b/>
        </w:rPr>
        <w:t>Collab</w:t>
      </w:r>
      <w:r>
        <w:rPr>
          <w:b/>
        </w:rPr>
        <w:t>orates in the interests of the s</w:t>
      </w:r>
      <w:r w:rsidRPr="00E21F01">
        <w:rPr>
          <w:b/>
        </w:rPr>
        <w:t>cheme</w:t>
      </w:r>
      <w:r w:rsidRPr="00E21F01">
        <w:t>: is a team player, flexible and cooperative, creates partnerships withi</w:t>
      </w:r>
      <w:r>
        <w:t>n and between boards and AHPRA.</w:t>
      </w:r>
    </w:p>
    <w:p w:rsidR="0089162B" w:rsidRDefault="0089162B" w:rsidP="0089162B">
      <w:pPr>
        <w:pStyle w:val="AHPRAbody"/>
        <w:spacing w:after="0"/>
      </w:pPr>
    </w:p>
    <w:p w:rsidR="0089162B" w:rsidRPr="005A2BE5" w:rsidRDefault="00AA6707" w:rsidP="005A2BE5">
      <w:pPr>
        <w:pStyle w:val="AHPRAbody"/>
      </w:pPr>
      <w:r w:rsidRPr="005A2BE5">
        <w:t xml:space="preserve">In deciding the Chair </w:t>
      </w:r>
      <w:r w:rsidR="005B0880">
        <w:t xml:space="preserve">and Deputy Chair </w:t>
      </w:r>
      <w:r w:rsidRPr="005A2BE5">
        <w:t>of the Committee, the Board will also give regard to the following Chair attributes:</w:t>
      </w:r>
    </w:p>
    <w:p w:rsidR="005465EF" w:rsidRPr="00553B2F" w:rsidRDefault="005465EF" w:rsidP="005A2BE5">
      <w:pPr>
        <w:pStyle w:val="AHPRANumberedlistlevel1"/>
        <w:rPr>
          <w:rStyle w:val="AHPRAbodyboldChar"/>
          <w:b w:val="0"/>
          <w:szCs w:val="20"/>
        </w:rPr>
      </w:pPr>
      <w:r w:rsidRPr="00553B2F">
        <w:rPr>
          <w:rStyle w:val="AHPRAbodyboldChar"/>
          <w:szCs w:val="20"/>
        </w:rPr>
        <w:t>Demonstrates leadership</w:t>
      </w:r>
      <w:r w:rsidRPr="00553B2F">
        <w:rPr>
          <w:rStyle w:val="AHPRAbodyboldChar"/>
          <w:b w:val="0"/>
          <w:szCs w:val="20"/>
        </w:rPr>
        <w:t>:</w:t>
      </w:r>
      <w:r w:rsidRPr="00553B2F">
        <w:t xml:space="preserve"> is confident; decisive and acts without fear or favour; is at the   forefront of professional regulation; drives reform and facilitates change</w:t>
      </w:r>
    </w:p>
    <w:p w:rsidR="005465EF" w:rsidRPr="00553B2F" w:rsidRDefault="005465EF" w:rsidP="005A2BE5">
      <w:pPr>
        <w:pStyle w:val="AHPRANumberedlistlevel1"/>
      </w:pPr>
      <w:r w:rsidRPr="00553B2F">
        <w:rPr>
          <w:rStyle w:val="AHPRAbodyboldChar"/>
          <w:szCs w:val="20"/>
        </w:rPr>
        <w:t>Engages externally</w:t>
      </w:r>
      <w:r w:rsidRPr="00553B2F">
        <w:rPr>
          <w:rStyle w:val="AHPRAbodyboldChar"/>
          <w:b w:val="0"/>
          <w:szCs w:val="20"/>
        </w:rPr>
        <w:t xml:space="preserve">: </w:t>
      </w:r>
      <w:r w:rsidRPr="00553B2F">
        <w:t>is the spokesperson for all assessment panels and advocate for the Scheme; defines the nature and tone of engagement; builds and sustains stakeholder relationships</w:t>
      </w:r>
    </w:p>
    <w:p w:rsidR="00AA6707" w:rsidRPr="005465EF" w:rsidRDefault="005465EF" w:rsidP="005A2BE5">
      <w:pPr>
        <w:pStyle w:val="AHPRANumberedlistlevel1"/>
      </w:pPr>
      <w:r w:rsidRPr="00553B2F">
        <w:rPr>
          <w:rStyle w:val="AHPRAbodyboldChar"/>
          <w:szCs w:val="20"/>
        </w:rPr>
        <w:t>Chairs effectively</w:t>
      </w:r>
      <w:r w:rsidRPr="00553B2F">
        <w:rPr>
          <w:rStyle w:val="AHPRAbodyboldChar"/>
          <w:b w:val="0"/>
          <w:szCs w:val="20"/>
        </w:rPr>
        <w:t>:</w:t>
      </w:r>
      <w:r w:rsidRPr="00553B2F">
        <w:t xml:space="preserve">  establishes and follows well organised agendas; facilitates input from all members; builds consensus; distils core issues; summarises discussion and confirms decisions ensuring they are accurately recorded.</w:t>
      </w:r>
    </w:p>
    <w:p w:rsidR="00D06809" w:rsidRPr="00346B6F" w:rsidRDefault="00D06809" w:rsidP="001B777A">
      <w:pPr>
        <w:pStyle w:val="AHPRASubheading"/>
      </w:pPr>
      <w:r w:rsidRPr="00346B6F">
        <w:t>Roles and responsibilities of members</w:t>
      </w:r>
    </w:p>
    <w:p w:rsidR="00D06809" w:rsidRDefault="00AD481F" w:rsidP="00D06809">
      <w:pPr>
        <w:autoSpaceDE w:val="0"/>
        <w:autoSpaceDN w:val="0"/>
        <w:adjustRightInd w:val="0"/>
        <w:rPr>
          <w:rFonts w:cs="Arial"/>
          <w:sz w:val="20"/>
          <w:szCs w:val="20"/>
        </w:rPr>
      </w:pPr>
      <w:r>
        <w:rPr>
          <w:rFonts w:cs="Arial"/>
          <w:sz w:val="20"/>
          <w:szCs w:val="20"/>
        </w:rPr>
        <w:t>M</w:t>
      </w:r>
      <w:r w:rsidR="00D06809" w:rsidRPr="00067289">
        <w:rPr>
          <w:rFonts w:cs="Arial"/>
          <w:sz w:val="20"/>
          <w:szCs w:val="20"/>
        </w:rPr>
        <w:t>embers are required to act within the powers and functi</w:t>
      </w:r>
      <w:r w:rsidR="00D06809">
        <w:rPr>
          <w:rFonts w:cs="Arial"/>
          <w:sz w:val="20"/>
          <w:szCs w:val="20"/>
        </w:rPr>
        <w:t>ons set out in the National Law</w:t>
      </w:r>
      <w:r w:rsidR="000374D8">
        <w:rPr>
          <w:rFonts w:cs="Arial"/>
          <w:sz w:val="20"/>
          <w:szCs w:val="20"/>
        </w:rPr>
        <w:t xml:space="preserve"> and the Committee Terms of Reference</w:t>
      </w:r>
      <w:r>
        <w:rPr>
          <w:rFonts w:cs="Arial"/>
          <w:sz w:val="20"/>
          <w:szCs w:val="20"/>
        </w:rPr>
        <w:t>.</w:t>
      </w:r>
    </w:p>
    <w:p w:rsidR="00A73B05" w:rsidRDefault="00D06809" w:rsidP="00EC7F33">
      <w:pPr>
        <w:autoSpaceDE w:val="0"/>
        <w:autoSpaceDN w:val="0"/>
        <w:adjustRightInd w:val="0"/>
      </w:pPr>
      <w:r w:rsidRPr="00067289">
        <w:rPr>
          <w:rFonts w:cs="Arial"/>
          <w:sz w:val="20"/>
          <w:szCs w:val="20"/>
        </w:rPr>
        <w:t>Under the National Law, members are required to act impartially and in the public interest</w:t>
      </w:r>
      <w:r>
        <w:rPr>
          <w:rFonts w:cs="Arial"/>
          <w:sz w:val="20"/>
          <w:szCs w:val="20"/>
        </w:rPr>
        <w:t xml:space="preserve"> </w:t>
      </w:r>
      <w:r w:rsidRPr="00067289">
        <w:rPr>
          <w:rFonts w:cs="Arial"/>
          <w:sz w:val="20"/>
          <w:szCs w:val="20"/>
        </w:rPr>
        <w:t>in the exercise of their functions and put the public interest before the interests of particular health</w:t>
      </w:r>
      <w:r>
        <w:rPr>
          <w:rFonts w:cs="Arial"/>
          <w:sz w:val="20"/>
          <w:szCs w:val="20"/>
        </w:rPr>
        <w:t xml:space="preserve"> </w:t>
      </w:r>
      <w:r w:rsidRPr="00067289">
        <w:rPr>
          <w:rFonts w:cs="Arial"/>
          <w:sz w:val="20"/>
          <w:szCs w:val="20"/>
        </w:rPr>
        <w:t>practitioners</w:t>
      </w:r>
      <w:r w:rsidR="00A73B05">
        <w:rPr>
          <w:rFonts w:cs="Arial"/>
          <w:sz w:val="20"/>
          <w:szCs w:val="20"/>
        </w:rPr>
        <w:t>, education providers</w:t>
      </w:r>
      <w:r w:rsidRPr="00067289">
        <w:rPr>
          <w:rFonts w:cs="Arial"/>
          <w:sz w:val="20"/>
          <w:szCs w:val="20"/>
        </w:rPr>
        <w:t xml:space="preserve"> or any entity that represents health practitioners.</w:t>
      </w:r>
    </w:p>
    <w:p w:rsidR="00904032" w:rsidRPr="00EE3D1F" w:rsidRDefault="00904032" w:rsidP="00EE3D1F">
      <w:pPr>
        <w:pStyle w:val="AHPRASubheadinglevel2"/>
        <w:rPr>
          <w:rFonts w:cs="Arial"/>
          <w:szCs w:val="20"/>
        </w:rPr>
      </w:pPr>
      <w:r>
        <w:t>Confidentiality</w:t>
      </w:r>
    </w:p>
    <w:p w:rsidR="003500D1" w:rsidRPr="008D7547" w:rsidRDefault="00206AD9" w:rsidP="008D7547">
      <w:pPr>
        <w:autoSpaceDE w:val="0"/>
        <w:autoSpaceDN w:val="0"/>
        <w:adjustRightInd w:val="0"/>
        <w:rPr>
          <w:szCs w:val="20"/>
        </w:rPr>
      </w:pPr>
      <w:r w:rsidRPr="00206AD9">
        <w:rPr>
          <w:rFonts w:cs="Arial"/>
          <w:sz w:val="20"/>
          <w:szCs w:val="20"/>
        </w:rPr>
        <w:t xml:space="preserve">Members are required to comply with the confidentiality requirements </w:t>
      </w:r>
      <w:r w:rsidR="00904032">
        <w:rPr>
          <w:rFonts w:cs="Arial"/>
          <w:sz w:val="20"/>
          <w:szCs w:val="20"/>
        </w:rPr>
        <w:t xml:space="preserve">of s.216 </w:t>
      </w:r>
      <w:r w:rsidRPr="00206AD9">
        <w:rPr>
          <w:rFonts w:cs="Arial"/>
          <w:sz w:val="20"/>
          <w:szCs w:val="20"/>
        </w:rPr>
        <w:t xml:space="preserve">of the National Law. </w:t>
      </w:r>
      <w:r w:rsidR="00904032">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D06809" w:rsidRPr="00346B6F" w:rsidRDefault="00D06809" w:rsidP="00A06DAA">
      <w:pPr>
        <w:pStyle w:val="AHPRASubheadinglevel2"/>
      </w:pPr>
      <w:r w:rsidRPr="00346B6F">
        <w:t xml:space="preserve">Conflict of </w:t>
      </w:r>
      <w:r w:rsidR="00242C46">
        <w:t>i</w:t>
      </w:r>
      <w:r w:rsidRPr="00346B6F">
        <w:t>nterest</w:t>
      </w:r>
    </w:p>
    <w:p w:rsidR="002E4BCC" w:rsidRPr="002E4BCC" w:rsidRDefault="00D06809" w:rsidP="002E4BCC">
      <w:pPr>
        <w:pStyle w:val="Default"/>
        <w:jc w:val="both"/>
        <w:rPr>
          <w:sz w:val="20"/>
          <w:szCs w:val="20"/>
        </w:rPr>
      </w:pPr>
      <w:r w:rsidRPr="00F40293">
        <w:rPr>
          <w:sz w:val="20"/>
          <w:szCs w:val="20"/>
        </w:rPr>
        <w:t>Members are to comply with the conflict of interest requirements set out in, Clause 8 of Schedule 4 of the National Law.</w:t>
      </w:r>
    </w:p>
    <w:p w:rsidR="00D06809" w:rsidRPr="002E4BCC" w:rsidRDefault="00D06809" w:rsidP="002E4BCC">
      <w:pPr>
        <w:pStyle w:val="AHPRASubheadinglevel2"/>
      </w:pPr>
      <w:r w:rsidRPr="00346B6F">
        <w:t>Statutory protections</w:t>
      </w:r>
    </w:p>
    <w:p w:rsidR="002E4BCC" w:rsidRPr="003500D1" w:rsidRDefault="00D06809" w:rsidP="003500D1">
      <w:pPr>
        <w:rPr>
          <w:rFonts w:cs="Arial"/>
          <w:sz w:val="20"/>
          <w:szCs w:val="20"/>
        </w:rPr>
      </w:pPr>
      <w:r>
        <w:rPr>
          <w:rFonts w:cs="Arial"/>
          <w:sz w:val="20"/>
          <w:szCs w:val="20"/>
        </w:rPr>
        <w:t>Under section 236 of the National Law, members of the National Boards and committees are provided with appropriate statutory immunities for exercising their functions in good faith.</w:t>
      </w:r>
    </w:p>
    <w:p w:rsidR="001B777A" w:rsidRPr="005C0105" w:rsidRDefault="001B777A" w:rsidP="001B777A">
      <w:pPr>
        <w:pStyle w:val="AHPRASubheading"/>
      </w:pPr>
      <w:r w:rsidRPr="007254A7">
        <w:t>Selection process</w:t>
      </w:r>
    </w:p>
    <w:p w:rsidR="001B777A" w:rsidRPr="00AD7749" w:rsidRDefault="001B777A" w:rsidP="001B777A">
      <w:pPr>
        <w:pStyle w:val="AHPRAbody"/>
        <w:spacing w:after="0"/>
      </w:pPr>
      <w:r>
        <w:t>A</w:t>
      </w:r>
      <w:r w:rsidRPr="00AD7749">
        <w:t>pplicants will be required to provide proof of identity</w:t>
      </w:r>
      <w:r w:rsidRPr="00AD7749">
        <w:rPr>
          <w:i/>
        </w:rPr>
        <w:t xml:space="preserve"> </w:t>
      </w:r>
      <w:r w:rsidRPr="00AD7749">
        <w:t>and</w:t>
      </w:r>
      <w:r>
        <w:t>,</w:t>
      </w:r>
      <w:r w:rsidRPr="00AD7749">
        <w:t xml:space="preserve"> </w:t>
      </w:r>
      <w:r>
        <w:t xml:space="preserve">if shortlisted, </w:t>
      </w:r>
      <w:r w:rsidRPr="00AD7749">
        <w:t>undergo probity checks, which include:</w:t>
      </w:r>
    </w:p>
    <w:p w:rsidR="001B777A" w:rsidRPr="00EE3D1F" w:rsidRDefault="001B777A" w:rsidP="00EE3D1F">
      <w:pPr>
        <w:pStyle w:val="AHPRABulletlevel1"/>
      </w:pPr>
      <w:r w:rsidRPr="00EE3D1F">
        <w:t>a n</w:t>
      </w:r>
      <w:r w:rsidR="004E1FAE">
        <w:t>ational criminal history check</w:t>
      </w:r>
    </w:p>
    <w:p w:rsidR="001B777A" w:rsidRPr="00EE3D1F" w:rsidRDefault="001B777A" w:rsidP="00EE3D1F">
      <w:pPr>
        <w:pStyle w:val="AHPRABulletlevel1"/>
      </w:pPr>
      <w:r w:rsidRPr="00EE3D1F">
        <w:t>an Australian Securities and Investments Commission disqualification register check</w:t>
      </w:r>
    </w:p>
    <w:p w:rsidR="001B777A" w:rsidRPr="00EE3D1F" w:rsidRDefault="001B777A" w:rsidP="00EE3D1F">
      <w:pPr>
        <w:pStyle w:val="AHPRABulletlevel1"/>
      </w:pPr>
      <w:r w:rsidRPr="00EE3D1F">
        <w:t>a National Personal Insolvency Index check conducted through the Australian Financial Security Authority</w:t>
      </w:r>
      <w:r w:rsidR="00EE3D1F">
        <w:t>, and</w:t>
      </w:r>
    </w:p>
    <w:p w:rsidR="00EE3D1F" w:rsidRDefault="00EE3D1F" w:rsidP="00EE3D1F">
      <w:pPr>
        <w:pStyle w:val="AHPRABulletlevel1"/>
      </w:pPr>
      <w:r>
        <w:t xml:space="preserve">a </w:t>
      </w:r>
      <w:r w:rsidRPr="00EE3D1F">
        <w:t>check of National Board records to ensure that a practitioner applicant is of good standing in the profession</w:t>
      </w:r>
    </w:p>
    <w:p w:rsidR="00EE3D1F" w:rsidRPr="00EE3D1F" w:rsidRDefault="00EE3D1F" w:rsidP="00EE3D1F">
      <w:pPr>
        <w:pStyle w:val="AHPRABulletlevel1"/>
        <w:numPr>
          <w:ilvl w:val="0"/>
          <w:numId w:val="0"/>
        </w:numPr>
        <w:ind w:left="360"/>
      </w:pPr>
    </w:p>
    <w:p w:rsidR="001B777A" w:rsidRDefault="001B777A" w:rsidP="001B777A">
      <w:pPr>
        <w:pStyle w:val="AHPRABulletlevel1"/>
        <w:numPr>
          <w:ilvl w:val="0"/>
          <w:numId w:val="0"/>
        </w:numPr>
        <w:spacing w:after="240"/>
      </w:pPr>
      <w:r w:rsidRPr="00AD7749">
        <w:t>Applicants are also required to provide information on whether they are current members of other government or statutory bodies.</w:t>
      </w:r>
    </w:p>
    <w:p w:rsidR="001B777A" w:rsidRPr="006F1626" w:rsidRDefault="001B777A" w:rsidP="00EE3D1F">
      <w:pPr>
        <w:pStyle w:val="AHPRAbody"/>
      </w:pPr>
      <w:r w:rsidRPr="00AD7749">
        <w:t xml:space="preserve">Shortlisted </w:t>
      </w:r>
      <w:r>
        <w:t>candidates</w:t>
      </w:r>
      <w:r w:rsidRPr="00AD7749">
        <w:t xml:space="preserve"> may be interviewed </w:t>
      </w:r>
      <w:r w:rsidR="00EE3D1F">
        <w:t xml:space="preserve">or otherwise assessed </w:t>
      </w:r>
      <w:r w:rsidRPr="00AD7749">
        <w:t>to ensure that they have the necessary qualifications, skills a</w:t>
      </w:r>
      <w:r w:rsidR="00EE3D1F">
        <w:t>nd experience for the position.</w:t>
      </w:r>
    </w:p>
    <w:p w:rsidR="001B777A" w:rsidRPr="00AD7749" w:rsidRDefault="001B777A" w:rsidP="00A06DAA">
      <w:pPr>
        <w:pStyle w:val="AHPRASubheadinglevel2"/>
      </w:pPr>
      <w:r w:rsidRPr="00AD7749">
        <w:t>Referee reports</w:t>
      </w:r>
    </w:p>
    <w:p w:rsidR="001B777A" w:rsidRPr="00AD7749" w:rsidRDefault="001B777A" w:rsidP="001B777A">
      <w:pPr>
        <w:pStyle w:val="AHPRAbody"/>
      </w:pPr>
      <w:r w:rsidRPr="00AD7749">
        <w:t xml:space="preserve">Referee reports are an important part of the selection process and at least one report will be obtained for all shortlisted </w:t>
      </w:r>
      <w:r>
        <w:t>candidates</w:t>
      </w:r>
      <w:r w:rsidRPr="00AD7749">
        <w:t xml:space="preserve">.  </w:t>
      </w:r>
      <w:r>
        <w:t>A</w:t>
      </w:r>
      <w:r w:rsidRPr="00AD7749">
        <w:t xml:space="preserve">pplicants are asked to nominate </w:t>
      </w:r>
      <w:r>
        <w:t>two to three</w:t>
      </w:r>
      <w:r w:rsidRPr="00AD7749">
        <w:t xml:space="preserve"> referees who can support the</w:t>
      </w:r>
      <w:r>
        <w:t>ir</w:t>
      </w:r>
      <w:r w:rsidRPr="00AD7749">
        <w:t xml:space="preserve"> application relevant to the key selection criteria and duties of the position.</w:t>
      </w:r>
    </w:p>
    <w:p w:rsidR="001B777A" w:rsidRPr="001B777A" w:rsidRDefault="001B777A" w:rsidP="001B777A">
      <w:pPr>
        <w:pStyle w:val="AHPRASubheading"/>
        <w:rPr>
          <w:szCs w:val="20"/>
        </w:rPr>
      </w:pPr>
      <w:r w:rsidRPr="001B777A">
        <w:rPr>
          <w:szCs w:val="20"/>
        </w:rPr>
        <w:t>Remuneration</w:t>
      </w:r>
    </w:p>
    <w:p w:rsidR="001B777A" w:rsidRPr="001B777A" w:rsidRDefault="001B777A" w:rsidP="001B777A">
      <w:pPr>
        <w:autoSpaceDE w:val="0"/>
        <w:autoSpaceDN w:val="0"/>
        <w:adjustRightInd w:val="0"/>
        <w:rPr>
          <w:rFonts w:eastAsia="Calibri" w:cs="Arial"/>
          <w:sz w:val="20"/>
          <w:szCs w:val="20"/>
        </w:rPr>
      </w:pPr>
      <w:r w:rsidRPr="001B777A">
        <w:rPr>
          <w:sz w:val="20"/>
          <w:szCs w:val="20"/>
        </w:rPr>
        <w:t xml:space="preserve">Sitting fees are </w:t>
      </w:r>
      <w:r w:rsidRPr="001B777A">
        <w:rPr>
          <w:rFonts w:cs="Arial"/>
          <w:sz w:val="20"/>
          <w:szCs w:val="20"/>
        </w:rPr>
        <w:t xml:space="preserve">determined by the Australian Health Workforce Ministerial Council </w:t>
      </w:r>
      <w:r w:rsidRPr="001B777A">
        <w:rPr>
          <w:rFonts w:eastAsia="Calibri" w:cs="Arial"/>
          <w:sz w:val="20"/>
          <w:szCs w:val="20"/>
        </w:rPr>
        <w:t>having regard to the remuneration generally applied to regulatory bodies with a substantial influence on the health industry.</w:t>
      </w:r>
    </w:p>
    <w:p w:rsidR="001B777A" w:rsidRPr="001B777A" w:rsidRDefault="001B777A" w:rsidP="001B777A">
      <w:pPr>
        <w:autoSpaceDE w:val="0"/>
        <w:autoSpaceDN w:val="0"/>
        <w:adjustRightInd w:val="0"/>
        <w:spacing w:before="200" w:after="120"/>
        <w:rPr>
          <w:sz w:val="20"/>
          <w:szCs w:val="20"/>
        </w:rPr>
      </w:pPr>
      <w:r w:rsidRPr="001B777A">
        <w:rPr>
          <w:rFonts w:cs="Arial"/>
          <w:sz w:val="20"/>
          <w:szCs w:val="20"/>
        </w:rPr>
        <w:t xml:space="preserve">The current remuneration (daily sitting fee) is detailed in the table below. </w:t>
      </w:r>
      <w:r w:rsidRPr="001B777A">
        <w:rPr>
          <w:sz w:val="20"/>
          <w:szCs w:val="20"/>
        </w:rPr>
        <w:t>The full day rate applies to all meetings or hearings and other assignments in excess of four hours in a day.  The fees paid are assessable under the Income Tax Assessment Act 1997.</w:t>
      </w:r>
    </w:p>
    <w:p w:rsidR="007517B3" w:rsidRDefault="001B777A" w:rsidP="001B777A">
      <w:pPr>
        <w:pStyle w:val="AHPRAbody"/>
        <w:rPr>
          <w:szCs w:val="20"/>
        </w:rPr>
      </w:pPr>
      <w:r w:rsidRPr="001B777A">
        <w:rPr>
          <w:szCs w:val="20"/>
        </w:rPr>
        <w:t xml:space="preserve">Under the </w:t>
      </w:r>
      <w:r w:rsidRPr="001B777A">
        <w:rPr>
          <w:i/>
          <w:szCs w:val="20"/>
        </w:rPr>
        <w:t>Superannuation Guarantee (Administration) Act 1992</w:t>
      </w:r>
      <w:r w:rsidRPr="001B777A">
        <w:rPr>
          <w:szCs w:val="20"/>
        </w:rPr>
        <w:t xml:space="preserve"> members are eligible to receive contributions at 9.5% cent of total annual remuneration to a chosen superannuation fund, payable when you are paid more than $450 in fees in a calendar month.</w:t>
      </w:r>
    </w:p>
    <w:p w:rsidR="007517B3" w:rsidRDefault="007517B3">
      <w:pPr>
        <w:spacing w:after="0"/>
        <w:rPr>
          <w:rFonts w:cs="Arial"/>
          <w:sz w:val="20"/>
          <w:szCs w:val="20"/>
        </w:rPr>
      </w:pPr>
      <w:r>
        <w:rPr>
          <w:szCs w:val="20"/>
        </w:rPr>
        <w:br w:type="page"/>
      </w:r>
    </w:p>
    <w:p w:rsidR="001B777A" w:rsidRPr="001B777A" w:rsidRDefault="001B777A" w:rsidP="001B777A">
      <w:pPr>
        <w:pStyle w:val="AHPRAbody"/>
        <w:rPr>
          <w:szCs w:val="20"/>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62"/>
        <w:gridCol w:w="1847"/>
        <w:gridCol w:w="1665"/>
      </w:tblGrid>
      <w:tr w:rsidR="006502AF" w:rsidRPr="00AD7749" w:rsidTr="006502AF">
        <w:trPr>
          <w:jc w:val="center"/>
        </w:trPr>
        <w:tc>
          <w:tcPr>
            <w:tcW w:w="2268" w:type="dxa"/>
            <w:vMerge w:val="restart"/>
            <w:shd w:val="clear" w:color="auto" w:fill="auto"/>
            <w:vAlign w:val="center"/>
          </w:tcPr>
          <w:p w:rsidR="006502AF" w:rsidRPr="006502AF" w:rsidRDefault="006502AF" w:rsidP="00B33267">
            <w:pPr>
              <w:rPr>
                <w:rFonts w:cs="Arial"/>
                <w:b/>
                <w:sz w:val="20"/>
                <w:szCs w:val="20"/>
              </w:rPr>
            </w:pPr>
            <w:r w:rsidRPr="006502AF">
              <w:rPr>
                <w:rFonts w:cs="Arial"/>
                <w:b/>
                <w:sz w:val="20"/>
                <w:szCs w:val="20"/>
              </w:rPr>
              <w:t>Role</w:t>
            </w:r>
          </w:p>
        </w:tc>
        <w:tc>
          <w:tcPr>
            <w:tcW w:w="3462" w:type="dxa"/>
            <w:shd w:val="clear" w:color="auto" w:fill="auto"/>
            <w:vAlign w:val="center"/>
          </w:tcPr>
          <w:p w:rsidR="006502AF" w:rsidRPr="006502AF" w:rsidRDefault="006502AF" w:rsidP="00B33267">
            <w:pPr>
              <w:rPr>
                <w:rFonts w:cs="Arial"/>
                <w:b/>
                <w:sz w:val="20"/>
                <w:szCs w:val="20"/>
              </w:rPr>
            </w:pPr>
            <w:r w:rsidRPr="006502AF">
              <w:rPr>
                <w:rFonts w:cs="Arial"/>
                <w:b/>
                <w:sz w:val="20"/>
                <w:szCs w:val="20"/>
              </w:rPr>
              <w:t>Attendance</w:t>
            </w:r>
          </w:p>
          <w:p w:rsidR="006502AF" w:rsidRPr="006502AF" w:rsidRDefault="006502AF" w:rsidP="00B33267">
            <w:pPr>
              <w:ind w:left="21"/>
              <w:rPr>
                <w:rFonts w:cs="Arial"/>
                <w:sz w:val="20"/>
                <w:szCs w:val="20"/>
              </w:rPr>
            </w:pPr>
            <w:r w:rsidRPr="006502AF">
              <w:rPr>
                <w:rFonts w:cs="Arial"/>
                <w:sz w:val="20"/>
                <w:szCs w:val="20"/>
              </w:rPr>
              <w:t>(Fee includes preparation and up to 4 hours travel time)</w:t>
            </w:r>
          </w:p>
        </w:tc>
        <w:tc>
          <w:tcPr>
            <w:tcW w:w="3512" w:type="dxa"/>
            <w:gridSpan w:val="2"/>
            <w:shd w:val="clear" w:color="auto" w:fill="auto"/>
            <w:vAlign w:val="center"/>
          </w:tcPr>
          <w:p w:rsidR="006502AF" w:rsidRPr="006502AF" w:rsidRDefault="006502AF" w:rsidP="00B33267">
            <w:pPr>
              <w:rPr>
                <w:rFonts w:cs="Arial"/>
                <w:b/>
                <w:sz w:val="20"/>
                <w:szCs w:val="20"/>
              </w:rPr>
            </w:pPr>
            <w:r w:rsidRPr="006502AF">
              <w:rPr>
                <w:rFonts w:cs="Arial"/>
                <w:b/>
                <w:sz w:val="20"/>
                <w:szCs w:val="20"/>
              </w:rPr>
              <w:t>Extra travel time</w:t>
            </w:r>
          </w:p>
          <w:p w:rsidR="006502AF" w:rsidRPr="006502AF" w:rsidRDefault="006502AF" w:rsidP="00B33267">
            <w:pPr>
              <w:rPr>
                <w:rFonts w:cs="Arial"/>
                <w:b/>
                <w:sz w:val="20"/>
                <w:szCs w:val="20"/>
              </w:rPr>
            </w:pPr>
          </w:p>
        </w:tc>
      </w:tr>
      <w:tr w:rsidR="006502AF" w:rsidRPr="00AD7749" w:rsidTr="006502AF">
        <w:trPr>
          <w:jc w:val="center"/>
        </w:trPr>
        <w:tc>
          <w:tcPr>
            <w:tcW w:w="2268" w:type="dxa"/>
            <w:vMerge/>
            <w:shd w:val="clear" w:color="auto" w:fill="auto"/>
            <w:vAlign w:val="center"/>
          </w:tcPr>
          <w:p w:rsidR="006502AF" w:rsidRPr="006502AF" w:rsidRDefault="006502AF" w:rsidP="00B33267">
            <w:pPr>
              <w:rPr>
                <w:rFonts w:cs="Arial"/>
                <w:sz w:val="20"/>
                <w:szCs w:val="20"/>
              </w:rPr>
            </w:pPr>
          </w:p>
        </w:tc>
        <w:tc>
          <w:tcPr>
            <w:tcW w:w="3462" w:type="dxa"/>
            <w:shd w:val="clear" w:color="auto" w:fill="auto"/>
            <w:vAlign w:val="center"/>
          </w:tcPr>
          <w:p w:rsidR="006502AF" w:rsidRPr="006502AF" w:rsidRDefault="006502AF" w:rsidP="00B33267">
            <w:pPr>
              <w:ind w:left="34"/>
              <w:rPr>
                <w:rFonts w:cs="Arial"/>
                <w:sz w:val="20"/>
                <w:szCs w:val="20"/>
              </w:rPr>
            </w:pPr>
            <w:r w:rsidRPr="006502AF">
              <w:rPr>
                <w:rFonts w:cs="Arial"/>
                <w:sz w:val="20"/>
                <w:szCs w:val="20"/>
              </w:rPr>
              <w:t>Daily sitting fee</w:t>
            </w:r>
          </w:p>
          <w:p w:rsidR="006502AF" w:rsidRPr="006502AF" w:rsidRDefault="006502AF" w:rsidP="00B33267">
            <w:pPr>
              <w:ind w:left="34"/>
              <w:rPr>
                <w:rFonts w:cs="Arial"/>
                <w:sz w:val="20"/>
                <w:szCs w:val="20"/>
              </w:rPr>
            </w:pPr>
            <w:r w:rsidRPr="006502AF">
              <w:rPr>
                <w:rFonts w:cs="Arial"/>
                <w:sz w:val="20"/>
                <w:szCs w:val="20"/>
              </w:rPr>
              <w:t>(more than 4 hours in a day)</w:t>
            </w:r>
          </w:p>
        </w:tc>
        <w:tc>
          <w:tcPr>
            <w:tcW w:w="1847" w:type="dxa"/>
            <w:shd w:val="clear" w:color="auto" w:fill="auto"/>
            <w:vAlign w:val="center"/>
          </w:tcPr>
          <w:p w:rsidR="006502AF" w:rsidRPr="006502AF" w:rsidRDefault="006502AF" w:rsidP="00B33267">
            <w:pPr>
              <w:ind w:left="34"/>
              <w:rPr>
                <w:rFonts w:cs="Arial"/>
                <w:sz w:val="20"/>
                <w:szCs w:val="20"/>
              </w:rPr>
            </w:pPr>
            <w:r w:rsidRPr="006502AF">
              <w:rPr>
                <w:rFonts w:cs="Arial"/>
                <w:sz w:val="20"/>
                <w:szCs w:val="20"/>
              </w:rPr>
              <w:t>Between 4-8 hours</w:t>
            </w:r>
          </w:p>
        </w:tc>
        <w:tc>
          <w:tcPr>
            <w:tcW w:w="1665" w:type="dxa"/>
            <w:shd w:val="clear" w:color="auto" w:fill="auto"/>
            <w:vAlign w:val="center"/>
          </w:tcPr>
          <w:p w:rsidR="006502AF" w:rsidRPr="006502AF" w:rsidRDefault="006502AF" w:rsidP="00B33267">
            <w:pPr>
              <w:rPr>
                <w:rFonts w:cs="Arial"/>
                <w:sz w:val="20"/>
                <w:szCs w:val="20"/>
              </w:rPr>
            </w:pPr>
            <w:r w:rsidRPr="006502AF">
              <w:rPr>
                <w:rFonts w:cs="Arial"/>
                <w:sz w:val="20"/>
                <w:szCs w:val="20"/>
              </w:rPr>
              <w:t xml:space="preserve">  Over 8 hours</w:t>
            </w:r>
          </w:p>
        </w:tc>
      </w:tr>
      <w:tr w:rsidR="009365A0" w:rsidRPr="00AD7749" w:rsidTr="006502AF">
        <w:trPr>
          <w:jc w:val="center"/>
        </w:trPr>
        <w:tc>
          <w:tcPr>
            <w:tcW w:w="2268" w:type="dxa"/>
            <w:shd w:val="clear" w:color="auto" w:fill="auto"/>
            <w:vAlign w:val="center"/>
          </w:tcPr>
          <w:p w:rsidR="009365A0" w:rsidRPr="006502AF" w:rsidRDefault="009365A0" w:rsidP="009365A0">
            <w:pPr>
              <w:spacing w:before="120" w:after="120"/>
              <w:rPr>
                <w:rFonts w:cs="Arial"/>
                <w:sz w:val="20"/>
                <w:szCs w:val="20"/>
              </w:rPr>
            </w:pPr>
            <w:r>
              <w:rPr>
                <w:rFonts w:cs="Arial"/>
                <w:sz w:val="20"/>
                <w:szCs w:val="20"/>
              </w:rPr>
              <w:t>Chair</w:t>
            </w:r>
          </w:p>
        </w:tc>
        <w:tc>
          <w:tcPr>
            <w:tcW w:w="3462" w:type="dxa"/>
            <w:shd w:val="clear" w:color="auto" w:fill="auto"/>
            <w:vAlign w:val="center"/>
          </w:tcPr>
          <w:p w:rsidR="009365A0" w:rsidRPr="00043E00" w:rsidRDefault="009365A0" w:rsidP="009365A0">
            <w:pPr>
              <w:pStyle w:val="AHPRAtabletext"/>
              <w:rPr>
                <w:color w:val="000000"/>
              </w:rPr>
            </w:pPr>
            <w:r w:rsidRPr="00043E00">
              <w:rPr>
                <w:color w:val="000000"/>
              </w:rPr>
              <w:t>$7</w:t>
            </w:r>
            <w:r>
              <w:rPr>
                <w:color w:val="000000"/>
              </w:rPr>
              <w:t>50</w:t>
            </w:r>
          </w:p>
        </w:tc>
        <w:tc>
          <w:tcPr>
            <w:tcW w:w="1847" w:type="dxa"/>
            <w:shd w:val="clear" w:color="auto" w:fill="auto"/>
            <w:vAlign w:val="center"/>
          </w:tcPr>
          <w:p w:rsidR="009365A0" w:rsidRPr="00043E00" w:rsidRDefault="009365A0" w:rsidP="009365A0">
            <w:pPr>
              <w:pStyle w:val="AHPRAtabletext"/>
              <w:rPr>
                <w:color w:val="000000"/>
              </w:rPr>
            </w:pPr>
            <w:r w:rsidRPr="00043E00">
              <w:rPr>
                <w:color w:val="000000"/>
              </w:rPr>
              <w:t>$3</w:t>
            </w:r>
            <w:r>
              <w:rPr>
                <w:color w:val="000000"/>
              </w:rPr>
              <w:t>75</w:t>
            </w:r>
          </w:p>
        </w:tc>
        <w:tc>
          <w:tcPr>
            <w:tcW w:w="1665" w:type="dxa"/>
            <w:shd w:val="clear" w:color="auto" w:fill="auto"/>
            <w:vAlign w:val="center"/>
          </w:tcPr>
          <w:p w:rsidR="009365A0" w:rsidRPr="00043E00" w:rsidRDefault="009365A0" w:rsidP="009365A0">
            <w:pPr>
              <w:pStyle w:val="AHPRAtabletext"/>
              <w:rPr>
                <w:color w:val="000000"/>
              </w:rPr>
            </w:pPr>
            <w:r w:rsidRPr="00043E00">
              <w:rPr>
                <w:color w:val="000000"/>
              </w:rPr>
              <w:t>$</w:t>
            </w:r>
            <w:r>
              <w:rPr>
                <w:color w:val="000000"/>
              </w:rPr>
              <w:t>750</w:t>
            </w:r>
          </w:p>
        </w:tc>
      </w:tr>
      <w:tr w:rsidR="009365A0" w:rsidRPr="00AD7749" w:rsidTr="006502AF">
        <w:trPr>
          <w:jc w:val="center"/>
        </w:trPr>
        <w:tc>
          <w:tcPr>
            <w:tcW w:w="2268" w:type="dxa"/>
            <w:shd w:val="clear" w:color="auto" w:fill="auto"/>
            <w:vAlign w:val="center"/>
          </w:tcPr>
          <w:p w:rsidR="009365A0" w:rsidRPr="006502AF" w:rsidRDefault="009365A0" w:rsidP="009365A0">
            <w:pPr>
              <w:spacing w:before="120" w:after="120"/>
              <w:rPr>
                <w:rFonts w:cs="Arial"/>
                <w:sz w:val="20"/>
                <w:szCs w:val="20"/>
              </w:rPr>
            </w:pPr>
            <w:r w:rsidRPr="006502AF">
              <w:rPr>
                <w:rFonts w:cs="Arial"/>
                <w:sz w:val="20"/>
                <w:szCs w:val="20"/>
              </w:rPr>
              <w:t>Member</w:t>
            </w:r>
          </w:p>
        </w:tc>
        <w:tc>
          <w:tcPr>
            <w:tcW w:w="3462" w:type="dxa"/>
            <w:shd w:val="clear" w:color="auto" w:fill="auto"/>
            <w:vAlign w:val="center"/>
          </w:tcPr>
          <w:p w:rsidR="009365A0" w:rsidRPr="006502AF" w:rsidRDefault="009365A0" w:rsidP="009365A0">
            <w:pPr>
              <w:spacing w:before="120" w:after="120"/>
              <w:ind w:right="227"/>
              <w:rPr>
                <w:rFonts w:cs="Arial"/>
                <w:sz w:val="20"/>
                <w:szCs w:val="20"/>
              </w:rPr>
            </w:pPr>
            <w:r w:rsidRPr="006502AF">
              <w:rPr>
                <w:rFonts w:cs="Arial"/>
                <w:sz w:val="20"/>
                <w:szCs w:val="20"/>
              </w:rPr>
              <w:t>$615</w:t>
            </w:r>
          </w:p>
        </w:tc>
        <w:tc>
          <w:tcPr>
            <w:tcW w:w="1847" w:type="dxa"/>
            <w:shd w:val="clear" w:color="auto" w:fill="auto"/>
            <w:vAlign w:val="center"/>
          </w:tcPr>
          <w:p w:rsidR="009365A0" w:rsidRPr="006502AF" w:rsidRDefault="009365A0" w:rsidP="009365A0">
            <w:pPr>
              <w:spacing w:before="120" w:after="120"/>
              <w:ind w:right="227"/>
              <w:rPr>
                <w:rFonts w:cs="Arial"/>
                <w:sz w:val="20"/>
                <w:szCs w:val="20"/>
              </w:rPr>
            </w:pPr>
            <w:r w:rsidRPr="006502AF">
              <w:rPr>
                <w:rFonts w:cs="Arial"/>
                <w:sz w:val="20"/>
                <w:szCs w:val="20"/>
              </w:rPr>
              <w:t>$307</w:t>
            </w:r>
          </w:p>
        </w:tc>
        <w:tc>
          <w:tcPr>
            <w:tcW w:w="1665" w:type="dxa"/>
            <w:shd w:val="clear" w:color="auto" w:fill="auto"/>
            <w:vAlign w:val="center"/>
          </w:tcPr>
          <w:p w:rsidR="009365A0" w:rsidRPr="006502AF" w:rsidRDefault="009365A0" w:rsidP="009365A0">
            <w:pPr>
              <w:spacing w:before="120" w:after="120"/>
              <w:ind w:right="227"/>
              <w:rPr>
                <w:rFonts w:cs="Arial"/>
                <w:sz w:val="20"/>
                <w:szCs w:val="20"/>
              </w:rPr>
            </w:pPr>
            <w:r w:rsidRPr="006502AF">
              <w:rPr>
                <w:rFonts w:cs="Arial"/>
                <w:sz w:val="20"/>
                <w:szCs w:val="20"/>
              </w:rPr>
              <w:t>$615</w:t>
            </w:r>
          </w:p>
        </w:tc>
      </w:tr>
    </w:tbl>
    <w:p w:rsidR="00EE3D1F" w:rsidRDefault="00EE3D1F" w:rsidP="001B777A">
      <w:pPr>
        <w:pStyle w:val="AHPRAbody"/>
        <w:rPr>
          <w:szCs w:val="20"/>
        </w:rPr>
      </w:pPr>
    </w:p>
    <w:p w:rsidR="001B777A" w:rsidRPr="001B777A" w:rsidRDefault="001B777A" w:rsidP="001B777A">
      <w:pPr>
        <w:pStyle w:val="AHPRAbody"/>
        <w:rPr>
          <w:szCs w:val="20"/>
        </w:rPr>
      </w:pPr>
      <w:r w:rsidRPr="001B777A">
        <w:rPr>
          <w:szCs w:val="20"/>
        </w:rPr>
        <w:t xml:space="preserve">For meetings that are less than 4 hours, half the daily fee is </w:t>
      </w:r>
      <w:r w:rsidR="00A73B05">
        <w:rPr>
          <w:szCs w:val="20"/>
        </w:rPr>
        <w:t xml:space="preserve">generally </w:t>
      </w:r>
      <w:r w:rsidRPr="001B777A">
        <w:rPr>
          <w:szCs w:val="20"/>
        </w:rPr>
        <w:t>payable.</w:t>
      </w:r>
    </w:p>
    <w:p w:rsidR="001B777A" w:rsidRPr="001B777A" w:rsidRDefault="001B777A" w:rsidP="00A06DAA">
      <w:pPr>
        <w:pStyle w:val="AHPRASubheadinglevel2"/>
      </w:pPr>
      <w:r w:rsidRPr="001B777A">
        <w:t>Expenses</w:t>
      </w:r>
    </w:p>
    <w:p w:rsidR="001B777A" w:rsidRPr="001B777A" w:rsidRDefault="001B777A" w:rsidP="001B777A">
      <w:pPr>
        <w:pStyle w:val="AHPRAbody"/>
        <w:rPr>
          <w:szCs w:val="20"/>
        </w:rPr>
      </w:pPr>
      <w:r w:rsidRPr="001B777A">
        <w:rPr>
          <w:szCs w:val="20"/>
        </w:rPr>
        <w:t xml:space="preserve">Committee members are entitled to claim travel, accommodation and subsistence expenses incurred as part of participating at face-to-face meetings if required. More information on allowances and the process of payments and claims will be provided if you are appointed. </w:t>
      </w:r>
    </w:p>
    <w:p w:rsidR="001B777A" w:rsidRPr="001B777A" w:rsidRDefault="001B777A" w:rsidP="00A06DAA">
      <w:pPr>
        <w:pStyle w:val="AHPRASubheadinglevel2"/>
      </w:pPr>
      <w:r w:rsidRPr="001B777A">
        <w:t>Government or statutory employees</w:t>
      </w:r>
    </w:p>
    <w:p w:rsidR="001B777A" w:rsidRPr="001B777A" w:rsidRDefault="001B777A" w:rsidP="001B777A">
      <w:pPr>
        <w:pStyle w:val="AHPRAbody"/>
        <w:rPr>
          <w:szCs w:val="20"/>
        </w:rPr>
      </w:pPr>
      <w:r w:rsidRPr="001B777A">
        <w:rPr>
          <w:szCs w:val="20"/>
        </w:rPr>
        <w:t>AHPRA recognises that government and statutory employees may be bound by their employer policy regarding payment for employment undertaken outside of the employer which may alter the way members are paid.</w:t>
      </w:r>
    </w:p>
    <w:p w:rsidR="001B777A" w:rsidRPr="001B777A" w:rsidRDefault="001B777A" w:rsidP="001B777A">
      <w:pPr>
        <w:pStyle w:val="AHPRAbody"/>
        <w:rPr>
          <w:szCs w:val="20"/>
        </w:rPr>
      </w:pPr>
      <w:r w:rsidRPr="001B777A">
        <w:rPr>
          <w:szCs w:val="20"/>
        </w:rPr>
        <w:t xml:space="preserve">We recommend applicants consult with their employer prior to applying to ensure an acknowledgement of permission can be provided from their employer, allowing them to be appointed as a committee member, and/or receive remuneration, should they be successful. </w:t>
      </w:r>
    </w:p>
    <w:p w:rsidR="00D06809" w:rsidRPr="000147E1" w:rsidRDefault="00D06809" w:rsidP="00D06809">
      <w:pPr>
        <w:pStyle w:val="TextSpacing"/>
        <w:spacing w:after="120"/>
      </w:pPr>
    </w:p>
    <w:sectPr w:rsidR="00D06809" w:rsidRPr="000147E1" w:rsidSect="00C714C2">
      <w:headerReference w:type="default" r:id="rId8"/>
      <w:footerReference w:type="even" r:id="rId9"/>
      <w:footerReference w:type="default" r:id="rId10"/>
      <w:headerReference w:type="first" r:id="rId11"/>
      <w:footerReference w:type="first" r:id="rId12"/>
      <w:type w:val="continuous"/>
      <w:pgSz w:w="11900" w:h="16840"/>
      <w:pgMar w:top="1383" w:right="1247" w:bottom="992" w:left="1247" w:header="284"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199" w:rsidRDefault="003A5199" w:rsidP="00FC2881">
      <w:pPr>
        <w:spacing w:after="0"/>
      </w:pPr>
      <w:r>
        <w:separator/>
      </w:r>
    </w:p>
    <w:p w:rsidR="003A5199" w:rsidRDefault="003A5199"/>
  </w:endnote>
  <w:endnote w:type="continuationSeparator" w:id="0">
    <w:p w:rsidR="003A5199" w:rsidRDefault="003A5199" w:rsidP="00FC2881">
      <w:pPr>
        <w:spacing w:after="0"/>
      </w:pPr>
      <w:r>
        <w:continuationSeparator/>
      </w:r>
    </w:p>
    <w:p w:rsidR="003A5199" w:rsidRDefault="003A5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99" w:rsidRDefault="00487668" w:rsidP="00FC2881">
    <w:pPr>
      <w:pStyle w:val="AHPRAfootnote"/>
      <w:framePr w:wrap="around" w:vAnchor="text" w:hAnchor="margin" w:xAlign="right" w:y="1"/>
    </w:pPr>
    <w:r>
      <w:fldChar w:fldCharType="begin"/>
    </w:r>
    <w:r w:rsidR="003A5199">
      <w:instrText xml:space="preserve">PAGE  </w:instrText>
    </w:r>
    <w:r>
      <w:fldChar w:fldCharType="end"/>
    </w:r>
  </w:p>
  <w:p w:rsidR="003A5199" w:rsidRDefault="003A5199" w:rsidP="00FC2881">
    <w:pPr>
      <w:pStyle w:val="AHPRAfootnote"/>
      <w:ind w:right="360"/>
    </w:pPr>
  </w:p>
  <w:p w:rsidR="003A5199" w:rsidRDefault="003A51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99" w:rsidRPr="00EE440B" w:rsidRDefault="003A5199" w:rsidP="001506FE">
    <w:pPr>
      <w:pStyle w:val="AHPRAfooter"/>
      <w:rPr>
        <w:i/>
        <w:szCs w:val="18"/>
      </w:rPr>
    </w:pPr>
    <w:bookmarkStart w:id="5" w:name="OLE_LINK1"/>
    <w:bookmarkStart w:id="6" w:name="OLE_LINK2"/>
    <w:r w:rsidRPr="00EE440B">
      <w:rPr>
        <w:szCs w:val="18"/>
      </w:rPr>
      <w:t xml:space="preserve">Accreditation Committee: Information guide / </w:t>
    </w:r>
    <w:r w:rsidR="00B562BF">
      <w:rPr>
        <w:szCs w:val="18"/>
      </w:rPr>
      <w:t>March</w:t>
    </w:r>
    <w:r w:rsidRPr="00EE440B">
      <w:rPr>
        <w:szCs w:val="18"/>
      </w:rPr>
      <w:t xml:space="preserve"> 2016</w:t>
    </w:r>
  </w:p>
  <w:bookmarkEnd w:id="5"/>
  <w:bookmarkEnd w:id="6"/>
  <w:p w:rsidR="003A5199" w:rsidRPr="00EE440B" w:rsidRDefault="00B374FE" w:rsidP="000E7E28">
    <w:pPr>
      <w:pStyle w:val="AHPRApagenumber"/>
      <w:rPr>
        <w:szCs w:val="18"/>
      </w:rPr>
    </w:pPr>
    <w:sdt>
      <w:sdtPr>
        <w:rPr>
          <w:szCs w:val="18"/>
        </w:rPr>
        <w:id w:val="8374046"/>
        <w:docPartObj>
          <w:docPartGallery w:val="Page Numbers (Top of Page)"/>
          <w:docPartUnique/>
        </w:docPartObj>
      </w:sdtPr>
      <w:sdtEndPr>
        <w:rPr>
          <w:color w:val="auto"/>
        </w:rPr>
      </w:sdtEndPr>
      <w:sdtContent>
        <w:r w:rsidR="003A5199" w:rsidRPr="00EE440B">
          <w:rPr>
            <w:color w:val="auto"/>
            <w:szCs w:val="18"/>
          </w:rPr>
          <w:t xml:space="preserve">Page </w:t>
        </w:r>
        <w:r w:rsidR="00487668" w:rsidRPr="00EE440B">
          <w:rPr>
            <w:color w:val="auto"/>
            <w:szCs w:val="18"/>
          </w:rPr>
          <w:fldChar w:fldCharType="begin"/>
        </w:r>
        <w:r w:rsidR="003A5199" w:rsidRPr="00EE440B">
          <w:rPr>
            <w:color w:val="auto"/>
            <w:szCs w:val="18"/>
          </w:rPr>
          <w:instrText xml:space="preserve"> PAGE </w:instrText>
        </w:r>
        <w:r w:rsidR="00487668" w:rsidRPr="00EE440B">
          <w:rPr>
            <w:color w:val="auto"/>
            <w:szCs w:val="18"/>
          </w:rPr>
          <w:fldChar w:fldCharType="separate"/>
        </w:r>
        <w:r>
          <w:rPr>
            <w:noProof/>
            <w:color w:val="auto"/>
            <w:szCs w:val="18"/>
          </w:rPr>
          <w:t>4</w:t>
        </w:r>
        <w:r w:rsidR="00487668" w:rsidRPr="00EE440B">
          <w:rPr>
            <w:color w:val="auto"/>
            <w:szCs w:val="18"/>
          </w:rPr>
          <w:fldChar w:fldCharType="end"/>
        </w:r>
        <w:r w:rsidR="003A5199" w:rsidRPr="00EE440B">
          <w:rPr>
            <w:color w:val="auto"/>
            <w:szCs w:val="18"/>
          </w:rPr>
          <w:t xml:space="preserve"> of </w:t>
        </w:r>
        <w:r w:rsidR="00487668" w:rsidRPr="00EE440B">
          <w:rPr>
            <w:color w:val="auto"/>
            <w:szCs w:val="18"/>
          </w:rPr>
          <w:fldChar w:fldCharType="begin"/>
        </w:r>
        <w:r w:rsidR="003A5199" w:rsidRPr="00EE440B">
          <w:rPr>
            <w:color w:val="auto"/>
            <w:szCs w:val="18"/>
          </w:rPr>
          <w:instrText xml:space="preserve"> NUMPAGES  </w:instrText>
        </w:r>
        <w:r w:rsidR="00487668" w:rsidRPr="00EE440B">
          <w:rPr>
            <w:color w:val="auto"/>
            <w:szCs w:val="18"/>
          </w:rPr>
          <w:fldChar w:fldCharType="separate"/>
        </w:r>
        <w:r>
          <w:rPr>
            <w:noProof/>
            <w:color w:val="auto"/>
            <w:szCs w:val="18"/>
          </w:rPr>
          <w:t>5</w:t>
        </w:r>
        <w:r w:rsidR="00487668" w:rsidRPr="00EE440B">
          <w:rPr>
            <w:color w:val="auto"/>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99" w:rsidRPr="00E77E23" w:rsidRDefault="003A5199" w:rsidP="00E77E23">
    <w:pPr>
      <w:pStyle w:val="AHPRAfirstpagefooter"/>
    </w:pPr>
    <w:r w:rsidRPr="00E77E23">
      <w:t xml:space="preserve">Australian </w:t>
    </w:r>
    <w:r w:rsidRPr="00E77E23">
      <w:rPr>
        <w:color w:val="007DC3"/>
      </w:rPr>
      <w:t>Health Practitioner</w:t>
    </w:r>
    <w:r w:rsidRPr="00E77E23">
      <w:t xml:space="preserve"> Regulation Agency</w:t>
    </w:r>
  </w:p>
  <w:p w:rsidR="003A5199" w:rsidRDefault="003A5199"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199" w:rsidRDefault="003A5199" w:rsidP="000E7E28">
      <w:pPr>
        <w:spacing w:after="0"/>
      </w:pPr>
      <w:r>
        <w:separator/>
      </w:r>
    </w:p>
  </w:footnote>
  <w:footnote w:type="continuationSeparator" w:id="0">
    <w:p w:rsidR="003A5199" w:rsidRDefault="003A5199" w:rsidP="00FC2881">
      <w:pPr>
        <w:spacing w:after="0"/>
      </w:pPr>
      <w:r>
        <w:continuationSeparator/>
      </w:r>
    </w:p>
    <w:p w:rsidR="003A5199" w:rsidRDefault="003A5199"/>
  </w:footnote>
  <w:footnote w:type="continuationNotice" w:id="1">
    <w:p w:rsidR="003A5199" w:rsidRDefault="003A51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99" w:rsidRPr="00315933" w:rsidRDefault="003A5199" w:rsidP="00D638E0">
    <w:pPr>
      <w:ind w:left="-1134" w:right="-567"/>
      <w:jc w:val="right"/>
    </w:pPr>
  </w:p>
  <w:p w:rsidR="003A5199" w:rsidRDefault="003A51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99" w:rsidRDefault="003A5199" w:rsidP="00D8301D">
    <w:pPr>
      <w:ind w:left="5040"/>
    </w:pPr>
    <w:r>
      <w:rPr>
        <w:noProof/>
        <w:lang w:eastAsia="en-AU"/>
      </w:rPr>
      <w:drawing>
        <wp:anchor distT="0" distB="0" distL="114300" distR="114300" simplePos="0" relativeHeight="251658240" behindDoc="1" locked="0" layoutInCell="1" allowOverlap="1">
          <wp:simplePos x="0" y="0"/>
          <wp:positionH relativeFrom="column">
            <wp:posOffset>4027805</wp:posOffset>
          </wp:positionH>
          <wp:positionV relativeFrom="paragraph">
            <wp:posOffset>38735</wp:posOffset>
          </wp:positionV>
          <wp:extent cx="2457450" cy="1543050"/>
          <wp:effectExtent l="0" t="0" r="0" b="0"/>
          <wp:wrapTight wrapText="bothSides">
            <wp:wrapPolygon edited="0">
              <wp:start x="0" y="0"/>
              <wp:lineTo x="0" y="21333"/>
              <wp:lineTo x="21433" y="21333"/>
              <wp:lineTo x="21433" y="0"/>
              <wp:lineTo x="0" y="0"/>
            </wp:wrapPolygon>
          </wp:wrapTight>
          <wp:docPr id="1" name="Picture 1" descr="Chinese Medicine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B AHPRA LOGO"/>
                  <pic:cNvPicPr>
                    <a:picLocks noChangeAspect="1" noChangeArrowheads="1"/>
                  </pic:cNvPicPr>
                </pic:nvPicPr>
                <pic:blipFill>
                  <a:blip r:embed="rId1"/>
                  <a:srcRect/>
                  <a:stretch>
                    <a:fillRect/>
                  </a:stretch>
                </pic:blipFill>
                <pic:spPr bwMode="auto">
                  <a:xfrm>
                    <a:off x="0" y="0"/>
                    <a:ext cx="2457450" cy="1543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10B17BB4"/>
    <w:multiLevelType w:val="hybridMultilevel"/>
    <w:tmpl w:val="EB2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75E34"/>
    <w:multiLevelType w:val="hybridMultilevel"/>
    <w:tmpl w:val="6670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64056"/>
    <w:multiLevelType w:val="hybridMultilevel"/>
    <w:tmpl w:val="BAA0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48192FC6"/>
    <w:multiLevelType w:val="hybridMultilevel"/>
    <w:tmpl w:val="84DA27BA"/>
    <w:lvl w:ilvl="0" w:tplc="676C3670">
      <w:start w:val="1"/>
      <w:numFmt w:val="bullet"/>
      <w:pStyle w:val="AHPRABulletlevel1"/>
      <w:lvlText w:val=""/>
      <w:lvlJc w:val="left"/>
      <w:pPr>
        <w:ind w:left="360" w:hanging="360"/>
      </w:pPr>
      <w:rPr>
        <w:rFonts w:ascii="Symbol" w:hAnsi="Symbol" w:hint="default"/>
      </w:rPr>
    </w:lvl>
    <w:lvl w:ilvl="1" w:tplc="04090019">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 w15:restartNumberingAfterBreak="0">
    <w:nsid w:val="4D272632"/>
    <w:multiLevelType w:val="hybridMultilevel"/>
    <w:tmpl w:val="46FA5F52"/>
    <w:lvl w:ilvl="0" w:tplc="BBCC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15:restartNumberingAfterBreak="0">
    <w:nsid w:val="4EBE0204"/>
    <w:multiLevelType w:val="hybridMultilevel"/>
    <w:tmpl w:val="CB74B45A"/>
    <w:lvl w:ilvl="0" w:tplc="AD3C681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A84F38"/>
    <w:multiLevelType w:val="multilevel"/>
    <w:tmpl w:val="B24CBD6E"/>
    <w:lvl w:ilvl="0">
      <w:start w:val="1"/>
      <w:numFmt w:val="lowerLetter"/>
      <w:lvlText w:val="%1)"/>
      <w:lvlJc w:val="left"/>
      <w:pPr>
        <w:ind w:left="511"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2" w15:restartNumberingAfterBreak="0">
    <w:nsid w:val="6A9F2ACF"/>
    <w:multiLevelType w:val="multilevel"/>
    <w:tmpl w:val="C6763856"/>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3" w15:restartNumberingAfterBreak="0">
    <w:nsid w:val="6ACC55E0"/>
    <w:multiLevelType w:val="hybridMultilevel"/>
    <w:tmpl w:val="C96835DA"/>
    <w:lvl w:ilvl="0" w:tplc="BBCC2522">
      <w:start w:val="1"/>
      <w:numFmt w:val="bullet"/>
      <w:pStyle w:val="AHPRABulletlevel3"/>
      <w:lvlText w:val="o"/>
      <w:lvlJc w:val="left"/>
      <w:pPr>
        <w:ind w:left="1440" w:hanging="360"/>
      </w:pPr>
      <w:rPr>
        <w:rFonts w:ascii="Courier New" w:hAnsi="Courier New" w:cs="Courier New" w:hint="default"/>
      </w:rPr>
    </w:lvl>
    <w:lvl w:ilvl="1" w:tplc="04090001"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E43D6C"/>
    <w:multiLevelType w:val="multilevel"/>
    <w:tmpl w:val="28906C50"/>
    <w:lvl w:ilvl="0">
      <w:start w:val="1"/>
      <w:numFmt w:val="bullet"/>
      <w:lvlText w:val=""/>
      <w:lvlJc w:val="left"/>
      <w:pPr>
        <w:ind w:left="511" w:hanging="369"/>
      </w:pPr>
      <w:rPr>
        <w:rFonts w:ascii="Symbol" w:hAnsi="Symbol"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5" w15:restartNumberingAfterBreak="0">
    <w:nsid w:val="7B774E76"/>
    <w:multiLevelType w:val="hybridMultilevel"/>
    <w:tmpl w:val="A4724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2610BB"/>
    <w:multiLevelType w:val="hybridMultilevel"/>
    <w:tmpl w:val="FF68D3AC"/>
    <w:lvl w:ilvl="0" w:tplc="0C090001">
      <w:start w:val="1"/>
      <w:numFmt w:val="bullet"/>
      <w:pStyle w:val="AHPRA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731660"/>
    <w:multiLevelType w:val="multilevel"/>
    <w:tmpl w:val="C4183F12"/>
    <w:numStyleLink w:val="AHPRANumberedlist"/>
  </w:abstractNum>
  <w:num w:numId="1">
    <w:abstractNumId w:val="13"/>
  </w:num>
  <w:num w:numId="2">
    <w:abstractNumId w:val="8"/>
  </w:num>
  <w:num w:numId="3">
    <w:abstractNumId w:val="1"/>
  </w:num>
  <w:num w:numId="4">
    <w:abstractNumId w:val="3"/>
  </w:num>
  <w:num w:numId="5">
    <w:abstractNumId w:val="0"/>
  </w:num>
  <w:num w:numId="6">
    <w:abstractNumId w:val="16"/>
  </w:num>
  <w:num w:numId="7">
    <w:abstractNumId w:val="2"/>
  </w:num>
  <w:num w:numId="8">
    <w:abstractNumId w:val="17"/>
  </w:num>
  <w:num w:numId="9">
    <w:abstractNumId w:val="12"/>
    <w:lvlOverride w:ilvl="0">
      <w:lvl w:ilvl="0">
        <w:start w:val="1"/>
        <w:numFmt w:val="decimal"/>
        <w:pStyle w:val="AHPRAnumberedsubheadinglevel10"/>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5"/>
  </w:num>
  <w:num w:numId="15">
    <w:abstractNumId w:val="11"/>
  </w:num>
  <w:num w:numId="16">
    <w:abstractNumId w:val="9"/>
  </w:num>
  <w:num w:numId="17">
    <w:abstractNumId w:val="14"/>
  </w:num>
  <w:num w:numId="18">
    <w:abstractNumId w:val="10"/>
  </w:num>
  <w:num w:numId="19">
    <w:abstractNumId w:val="15"/>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77825"/>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2279"/>
    <w:rsid w:val="00005B2A"/>
    <w:rsid w:val="00006922"/>
    <w:rsid w:val="00014237"/>
    <w:rsid w:val="00014DCD"/>
    <w:rsid w:val="00017B94"/>
    <w:rsid w:val="00030C0A"/>
    <w:rsid w:val="000318B4"/>
    <w:rsid w:val="00032ED6"/>
    <w:rsid w:val="000334D7"/>
    <w:rsid w:val="000374D8"/>
    <w:rsid w:val="0004041D"/>
    <w:rsid w:val="00041486"/>
    <w:rsid w:val="000471E7"/>
    <w:rsid w:val="00050823"/>
    <w:rsid w:val="00054B3D"/>
    <w:rsid w:val="0005516F"/>
    <w:rsid w:val="00060A9A"/>
    <w:rsid w:val="000622AA"/>
    <w:rsid w:val="000640F2"/>
    <w:rsid w:val="00065DBB"/>
    <w:rsid w:val="00070BB5"/>
    <w:rsid w:val="00071439"/>
    <w:rsid w:val="00076544"/>
    <w:rsid w:val="0008311A"/>
    <w:rsid w:val="00083684"/>
    <w:rsid w:val="000945FB"/>
    <w:rsid w:val="00096C73"/>
    <w:rsid w:val="000A6BF7"/>
    <w:rsid w:val="000A73EA"/>
    <w:rsid w:val="000B38C4"/>
    <w:rsid w:val="000B55E3"/>
    <w:rsid w:val="000C3A60"/>
    <w:rsid w:val="000C77D7"/>
    <w:rsid w:val="000E7364"/>
    <w:rsid w:val="000E7E28"/>
    <w:rsid w:val="000F57B2"/>
    <w:rsid w:val="000F5D90"/>
    <w:rsid w:val="0010139F"/>
    <w:rsid w:val="00102AD7"/>
    <w:rsid w:val="001031DF"/>
    <w:rsid w:val="0010457D"/>
    <w:rsid w:val="00125097"/>
    <w:rsid w:val="00125D33"/>
    <w:rsid w:val="00142956"/>
    <w:rsid w:val="001444C0"/>
    <w:rsid w:val="00144DEF"/>
    <w:rsid w:val="00146B4B"/>
    <w:rsid w:val="00147EE7"/>
    <w:rsid w:val="001506FE"/>
    <w:rsid w:val="00152CC2"/>
    <w:rsid w:val="00153A58"/>
    <w:rsid w:val="00160612"/>
    <w:rsid w:val="0016168A"/>
    <w:rsid w:val="001674F5"/>
    <w:rsid w:val="00174BAE"/>
    <w:rsid w:val="0018439B"/>
    <w:rsid w:val="0019226A"/>
    <w:rsid w:val="001B598C"/>
    <w:rsid w:val="001B7072"/>
    <w:rsid w:val="001B7381"/>
    <w:rsid w:val="001B777A"/>
    <w:rsid w:val="001C425C"/>
    <w:rsid w:val="001C4F84"/>
    <w:rsid w:val="001C5249"/>
    <w:rsid w:val="001D5382"/>
    <w:rsid w:val="001D7D21"/>
    <w:rsid w:val="001E0F3C"/>
    <w:rsid w:val="001E1E31"/>
    <w:rsid w:val="001E2849"/>
    <w:rsid w:val="001E4A94"/>
    <w:rsid w:val="001E52B8"/>
    <w:rsid w:val="001E5621"/>
    <w:rsid w:val="001F769A"/>
    <w:rsid w:val="00206AD9"/>
    <w:rsid w:val="00213F84"/>
    <w:rsid w:val="002164D5"/>
    <w:rsid w:val="00220A3B"/>
    <w:rsid w:val="0022136B"/>
    <w:rsid w:val="00224708"/>
    <w:rsid w:val="00225738"/>
    <w:rsid w:val="002266F1"/>
    <w:rsid w:val="00242C46"/>
    <w:rsid w:val="0024428F"/>
    <w:rsid w:val="0025467C"/>
    <w:rsid w:val="00263301"/>
    <w:rsid w:val="00272723"/>
    <w:rsid w:val="002729D2"/>
    <w:rsid w:val="00274772"/>
    <w:rsid w:val="00275CA0"/>
    <w:rsid w:val="0028013F"/>
    <w:rsid w:val="0028723D"/>
    <w:rsid w:val="002879C7"/>
    <w:rsid w:val="00295B44"/>
    <w:rsid w:val="002A7C12"/>
    <w:rsid w:val="002A7F8D"/>
    <w:rsid w:val="002B0149"/>
    <w:rsid w:val="002B23C6"/>
    <w:rsid w:val="002B2D48"/>
    <w:rsid w:val="002B5CEB"/>
    <w:rsid w:val="002B62E1"/>
    <w:rsid w:val="002B7BB0"/>
    <w:rsid w:val="002C08FB"/>
    <w:rsid w:val="002C34EA"/>
    <w:rsid w:val="002E4BCC"/>
    <w:rsid w:val="00303BE1"/>
    <w:rsid w:val="00304A15"/>
    <w:rsid w:val="00305AFC"/>
    <w:rsid w:val="00313814"/>
    <w:rsid w:val="0032527D"/>
    <w:rsid w:val="00332050"/>
    <w:rsid w:val="003354E4"/>
    <w:rsid w:val="0033562B"/>
    <w:rsid w:val="003400B0"/>
    <w:rsid w:val="00341087"/>
    <w:rsid w:val="0034274C"/>
    <w:rsid w:val="00346B6F"/>
    <w:rsid w:val="003500D1"/>
    <w:rsid w:val="00350436"/>
    <w:rsid w:val="0035625F"/>
    <w:rsid w:val="003579E1"/>
    <w:rsid w:val="003701E3"/>
    <w:rsid w:val="00370FD3"/>
    <w:rsid w:val="0037447E"/>
    <w:rsid w:val="00383FC4"/>
    <w:rsid w:val="00384B04"/>
    <w:rsid w:val="00391FF3"/>
    <w:rsid w:val="00392930"/>
    <w:rsid w:val="00393C83"/>
    <w:rsid w:val="003A5199"/>
    <w:rsid w:val="003C6696"/>
    <w:rsid w:val="003C743B"/>
    <w:rsid w:val="003C7CEF"/>
    <w:rsid w:val="003D41FC"/>
    <w:rsid w:val="003D4EBF"/>
    <w:rsid w:val="003D6DBD"/>
    <w:rsid w:val="003E00B5"/>
    <w:rsid w:val="003E25E4"/>
    <w:rsid w:val="003E3268"/>
    <w:rsid w:val="003E38B5"/>
    <w:rsid w:val="003E5348"/>
    <w:rsid w:val="003E73ED"/>
    <w:rsid w:val="003F23E8"/>
    <w:rsid w:val="003F2F06"/>
    <w:rsid w:val="003F6ADA"/>
    <w:rsid w:val="00405C0A"/>
    <w:rsid w:val="00405E04"/>
    <w:rsid w:val="00412253"/>
    <w:rsid w:val="00414F2C"/>
    <w:rsid w:val="0041585E"/>
    <w:rsid w:val="00442B5F"/>
    <w:rsid w:val="0044712B"/>
    <w:rsid w:val="00450B34"/>
    <w:rsid w:val="00456727"/>
    <w:rsid w:val="004606A7"/>
    <w:rsid w:val="00460BC2"/>
    <w:rsid w:val="00463CB7"/>
    <w:rsid w:val="00477700"/>
    <w:rsid w:val="00487668"/>
    <w:rsid w:val="0049248B"/>
    <w:rsid w:val="004966FA"/>
    <w:rsid w:val="004A5E5D"/>
    <w:rsid w:val="004B747B"/>
    <w:rsid w:val="004D13AD"/>
    <w:rsid w:val="004D7537"/>
    <w:rsid w:val="004E1FAE"/>
    <w:rsid w:val="004E3F5E"/>
    <w:rsid w:val="004F4643"/>
    <w:rsid w:val="004F5042"/>
    <w:rsid w:val="004F5C05"/>
    <w:rsid w:val="00511961"/>
    <w:rsid w:val="00513F88"/>
    <w:rsid w:val="00514220"/>
    <w:rsid w:val="005152BB"/>
    <w:rsid w:val="00531CC6"/>
    <w:rsid w:val="0053749F"/>
    <w:rsid w:val="005465EF"/>
    <w:rsid w:val="005532B1"/>
    <w:rsid w:val="00553A4C"/>
    <w:rsid w:val="00554335"/>
    <w:rsid w:val="00556515"/>
    <w:rsid w:val="005565CE"/>
    <w:rsid w:val="005708AE"/>
    <w:rsid w:val="00573452"/>
    <w:rsid w:val="005745B8"/>
    <w:rsid w:val="00587A9D"/>
    <w:rsid w:val="0059532C"/>
    <w:rsid w:val="00595498"/>
    <w:rsid w:val="005A0FA9"/>
    <w:rsid w:val="005A2BE5"/>
    <w:rsid w:val="005B0880"/>
    <w:rsid w:val="005B0F15"/>
    <w:rsid w:val="005B2FA7"/>
    <w:rsid w:val="005B53A9"/>
    <w:rsid w:val="005C032C"/>
    <w:rsid w:val="005C5932"/>
    <w:rsid w:val="005C6817"/>
    <w:rsid w:val="005C775A"/>
    <w:rsid w:val="005D57B1"/>
    <w:rsid w:val="005E0B61"/>
    <w:rsid w:val="005E164C"/>
    <w:rsid w:val="005E3D04"/>
    <w:rsid w:val="005F389E"/>
    <w:rsid w:val="00600F94"/>
    <w:rsid w:val="006018E9"/>
    <w:rsid w:val="006022E5"/>
    <w:rsid w:val="00606320"/>
    <w:rsid w:val="006103B1"/>
    <w:rsid w:val="00610CFC"/>
    <w:rsid w:val="00612F12"/>
    <w:rsid w:val="00616043"/>
    <w:rsid w:val="00621BC2"/>
    <w:rsid w:val="00626419"/>
    <w:rsid w:val="00626765"/>
    <w:rsid w:val="00636A72"/>
    <w:rsid w:val="00640B2C"/>
    <w:rsid w:val="006502AF"/>
    <w:rsid w:val="006524DB"/>
    <w:rsid w:val="00652F4D"/>
    <w:rsid w:val="006638CE"/>
    <w:rsid w:val="0066529E"/>
    <w:rsid w:val="00667CAD"/>
    <w:rsid w:val="00681142"/>
    <w:rsid w:val="00681D5E"/>
    <w:rsid w:val="00682E08"/>
    <w:rsid w:val="006B1F58"/>
    <w:rsid w:val="006B21FD"/>
    <w:rsid w:val="006B243C"/>
    <w:rsid w:val="006B27E2"/>
    <w:rsid w:val="006B6142"/>
    <w:rsid w:val="006C0257"/>
    <w:rsid w:val="006C0E29"/>
    <w:rsid w:val="006C47AF"/>
    <w:rsid w:val="006C4834"/>
    <w:rsid w:val="006D0650"/>
    <w:rsid w:val="006D30FE"/>
    <w:rsid w:val="006D3757"/>
    <w:rsid w:val="006D720E"/>
    <w:rsid w:val="006E6C97"/>
    <w:rsid w:val="006F1626"/>
    <w:rsid w:val="006F3ADB"/>
    <w:rsid w:val="006F7348"/>
    <w:rsid w:val="006F796D"/>
    <w:rsid w:val="0070155F"/>
    <w:rsid w:val="0071169E"/>
    <w:rsid w:val="00716E09"/>
    <w:rsid w:val="00717251"/>
    <w:rsid w:val="00717719"/>
    <w:rsid w:val="007372A4"/>
    <w:rsid w:val="00741B04"/>
    <w:rsid w:val="007517B3"/>
    <w:rsid w:val="00752FAB"/>
    <w:rsid w:val="0076115C"/>
    <w:rsid w:val="007664F3"/>
    <w:rsid w:val="0076704F"/>
    <w:rsid w:val="007714F1"/>
    <w:rsid w:val="007811B0"/>
    <w:rsid w:val="00790CA5"/>
    <w:rsid w:val="0079197C"/>
    <w:rsid w:val="007A35B9"/>
    <w:rsid w:val="007B0AB2"/>
    <w:rsid w:val="007B26CB"/>
    <w:rsid w:val="007B55B3"/>
    <w:rsid w:val="007B60D8"/>
    <w:rsid w:val="007B7745"/>
    <w:rsid w:val="007B77D6"/>
    <w:rsid w:val="007B7DB0"/>
    <w:rsid w:val="007C0B6E"/>
    <w:rsid w:val="007C2710"/>
    <w:rsid w:val="007D4836"/>
    <w:rsid w:val="007D4D3F"/>
    <w:rsid w:val="007D5941"/>
    <w:rsid w:val="007E1308"/>
    <w:rsid w:val="007E255A"/>
    <w:rsid w:val="007E2C84"/>
    <w:rsid w:val="007E3545"/>
    <w:rsid w:val="007E3791"/>
    <w:rsid w:val="007E725A"/>
    <w:rsid w:val="007F0095"/>
    <w:rsid w:val="007F328C"/>
    <w:rsid w:val="007F3E78"/>
    <w:rsid w:val="00800D0A"/>
    <w:rsid w:val="00814EDB"/>
    <w:rsid w:val="00815229"/>
    <w:rsid w:val="008162CD"/>
    <w:rsid w:val="00817C1F"/>
    <w:rsid w:val="008338F7"/>
    <w:rsid w:val="00836397"/>
    <w:rsid w:val="00842D5D"/>
    <w:rsid w:val="00844704"/>
    <w:rsid w:val="00845054"/>
    <w:rsid w:val="00852D1C"/>
    <w:rsid w:val="00856147"/>
    <w:rsid w:val="00860D88"/>
    <w:rsid w:val="00860F40"/>
    <w:rsid w:val="008615C9"/>
    <w:rsid w:val="0086191B"/>
    <w:rsid w:val="00861CA4"/>
    <w:rsid w:val="00864020"/>
    <w:rsid w:val="0088774C"/>
    <w:rsid w:val="0089162B"/>
    <w:rsid w:val="008979D5"/>
    <w:rsid w:val="008A1836"/>
    <w:rsid w:val="008A1F89"/>
    <w:rsid w:val="008A4C3B"/>
    <w:rsid w:val="008A7055"/>
    <w:rsid w:val="008B2477"/>
    <w:rsid w:val="008B2AD7"/>
    <w:rsid w:val="008C20D3"/>
    <w:rsid w:val="008D3645"/>
    <w:rsid w:val="008D3CEC"/>
    <w:rsid w:val="008D4621"/>
    <w:rsid w:val="008D674A"/>
    <w:rsid w:val="008D6B7E"/>
    <w:rsid w:val="008D7547"/>
    <w:rsid w:val="008D7845"/>
    <w:rsid w:val="008F2D4D"/>
    <w:rsid w:val="008F4127"/>
    <w:rsid w:val="008F6022"/>
    <w:rsid w:val="008F7BC5"/>
    <w:rsid w:val="00904032"/>
    <w:rsid w:val="009053FF"/>
    <w:rsid w:val="009068C2"/>
    <w:rsid w:val="00917C49"/>
    <w:rsid w:val="00923B23"/>
    <w:rsid w:val="00930EB7"/>
    <w:rsid w:val="009350ED"/>
    <w:rsid w:val="009365A0"/>
    <w:rsid w:val="009373B4"/>
    <w:rsid w:val="00937ED0"/>
    <w:rsid w:val="00944D07"/>
    <w:rsid w:val="009464D4"/>
    <w:rsid w:val="00952797"/>
    <w:rsid w:val="00952D2E"/>
    <w:rsid w:val="00975183"/>
    <w:rsid w:val="009777D3"/>
    <w:rsid w:val="009805D3"/>
    <w:rsid w:val="00985505"/>
    <w:rsid w:val="009859E6"/>
    <w:rsid w:val="009877CC"/>
    <w:rsid w:val="00994A3A"/>
    <w:rsid w:val="009973BC"/>
    <w:rsid w:val="009A0A5D"/>
    <w:rsid w:val="009A4A7E"/>
    <w:rsid w:val="009B63B5"/>
    <w:rsid w:val="009C6933"/>
    <w:rsid w:val="009D7BDF"/>
    <w:rsid w:val="009E64CA"/>
    <w:rsid w:val="009E6CC2"/>
    <w:rsid w:val="009F24A2"/>
    <w:rsid w:val="009F4818"/>
    <w:rsid w:val="009F6C7B"/>
    <w:rsid w:val="009F743F"/>
    <w:rsid w:val="00A047B3"/>
    <w:rsid w:val="00A04C7A"/>
    <w:rsid w:val="00A058E5"/>
    <w:rsid w:val="00A06DAA"/>
    <w:rsid w:val="00A10C1A"/>
    <w:rsid w:val="00A1230C"/>
    <w:rsid w:val="00A2072E"/>
    <w:rsid w:val="00A21BAE"/>
    <w:rsid w:val="00A22668"/>
    <w:rsid w:val="00A237BB"/>
    <w:rsid w:val="00A31BE4"/>
    <w:rsid w:val="00A36FE5"/>
    <w:rsid w:val="00A47D5F"/>
    <w:rsid w:val="00A509AB"/>
    <w:rsid w:val="00A520C0"/>
    <w:rsid w:val="00A57437"/>
    <w:rsid w:val="00A6449A"/>
    <w:rsid w:val="00A66B8A"/>
    <w:rsid w:val="00A702DC"/>
    <w:rsid w:val="00A72B59"/>
    <w:rsid w:val="00A73B05"/>
    <w:rsid w:val="00A7425B"/>
    <w:rsid w:val="00A7728A"/>
    <w:rsid w:val="00A80D15"/>
    <w:rsid w:val="00A82078"/>
    <w:rsid w:val="00A838C8"/>
    <w:rsid w:val="00A91C42"/>
    <w:rsid w:val="00A9516B"/>
    <w:rsid w:val="00A960C9"/>
    <w:rsid w:val="00A9780A"/>
    <w:rsid w:val="00A97BC9"/>
    <w:rsid w:val="00AA00AF"/>
    <w:rsid w:val="00AA1516"/>
    <w:rsid w:val="00AA2FC9"/>
    <w:rsid w:val="00AA3390"/>
    <w:rsid w:val="00AA450B"/>
    <w:rsid w:val="00AA61FE"/>
    <w:rsid w:val="00AA6707"/>
    <w:rsid w:val="00AB283D"/>
    <w:rsid w:val="00AB4FF1"/>
    <w:rsid w:val="00AC2C7F"/>
    <w:rsid w:val="00AC3B8B"/>
    <w:rsid w:val="00AD312E"/>
    <w:rsid w:val="00AD481F"/>
    <w:rsid w:val="00AE3EAF"/>
    <w:rsid w:val="00AE76ED"/>
    <w:rsid w:val="00AE7E30"/>
    <w:rsid w:val="00B007AC"/>
    <w:rsid w:val="00B01307"/>
    <w:rsid w:val="00B01DC2"/>
    <w:rsid w:val="00B024B0"/>
    <w:rsid w:val="00B07D1A"/>
    <w:rsid w:val="00B11B53"/>
    <w:rsid w:val="00B216D7"/>
    <w:rsid w:val="00B30BA1"/>
    <w:rsid w:val="00B324D5"/>
    <w:rsid w:val="00B33267"/>
    <w:rsid w:val="00B34EDA"/>
    <w:rsid w:val="00B374FE"/>
    <w:rsid w:val="00B4152F"/>
    <w:rsid w:val="00B4466E"/>
    <w:rsid w:val="00B449DF"/>
    <w:rsid w:val="00B44D80"/>
    <w:rsid w:val="00B50209"/>
    <w:rsid w:val="00B51748"/>
    <w:rsid w:val="00B519E7"/>
    <w:rsid w:val="00B5238B"/>
    <w:rsid w:val="00B53D5E"/>
    <w:rsid w:val="00B562BF"/>
    <w:rsid w:val="00B57198"/>
    <w:rsid w:val="00B618B9"/>
    <w:rsid w:val="00B674F8"/>
    <w:rsid w:val="00B73B57"/>
    <w:rsid w:val="00B85023"/>
    <w:rsid w:val="00B90E72"/>
    <w:rsid w:val="00B96D96"/>
    <w:rsid w:val="00B97E56"/>
    <w:rsid w:val="00BA2456"/>
    <w:rsid w:val="00BA469B"/>
    <w:rsid w:val="00BA5D7D"/>
    <w:rsid w:val="00BA6C63"/>
    <w:rsid w:val="00BB3F77"/>
    <w:rsid w:val="00BB4A5B"/>
    <w:rsid w:val="00BC1B38"/>
    <w:rsid w:val="00BE0600"/>
    <w:rsid w:val="00BE19D5"/>
    <w:rsid w:val="00BE3D81"/>
    <w:rsid w:val="00BF2534"/>
    <w:rsid w:val="00BF79DC"/>
    <w:rsid w:val="00C061CE"/>
    <w:rsid w:val="00C10FC5"/>
    <w:rsid w:val="00C13BBD"/>
    <w:rsid w:val="00C15291"/>
    <w:rsid w:val="00C2176D"/>
    <w:rsid w:val="00C21C53"/>
    <w:rsid w:val="00C27C6F"/>
    <w:rsid w:val="00C30108"/>
    <w:rsid w:val="00C31EC3"/>
    <w:rsid w:val="00C35DE1"/>
    <w:rsid w:val="00C35E47"/>
    <w:rsid w:val="00C3795C"/>
    <w:rsid w:val="00C40A35"/>
    <w:rsid w:val="00C524AA"/>
    <w:rsid w:val="00C54689"/>
    <w:rsid w:val="00C650D2"/>
    <w:rsid w:val="00C714C2"/>
    <w:rsid w:val="00C74512"/>
    <w:rsid w:val="00C81B3A"/>
    <w:rsid w:val="00C9286A"/>
    <w:rsid w:val="00CA4EE0"/>
    <w:rsid w:val="00CB0448"/>
    <w:rsid w:val="00CB5C4A"/>
    <w:rsid w:val="00CB5DF6"/>
    <w:rsid w:val="00CB6C08"/>
    <w:rsid w:val="00CC286A"/>
    <w:rsid w:val="00CC3651"/>
    <w:rsid w:val="00CD0B8A"/>
    <w:rsid w:val="00CD0DCA"/>
    <w:rsid w:val="00CD52EC"/>
    <w:rsid w:val="00CF4330"/>
    <w:rsid w:val="00CF5FC9"/>
    <w:rsid w:val="00D006CE"/>
    <w:rsid w:val="00D06809"/>
    <w:rsid w:val="00D1094F"/>
    <w:rsid w:val="00D12F61"/>
    <w:rsid w:val="00D201C6"/>
    <w:rsid w:val="00D460F8"/>
    <w:rsid w:val="00D50CC6"/>
    <w:rsid w:val="00D638E0"/>
    <w:rsid w:val="00D66153"/>
    <w:rsid w:val="00D716BA"/>
    <w:rsid w:val="00D71C6E"/>
    <w:rsid w:val="00D81DC3"/>
    <w:rsid w:val="00D8301D"/>
    <w:rsid w:val="00D8404D"/>
    <w:rsid w:val="00D875AD"/>
    <w:rsid w:val="00DA62CE"/>
    <w:rsid w:val="00DA7BA8"/>
    <w:rsid w:val="00DC2952"/>
    <w:rsid w:val="00DC2E3B"/>
    <w:rsid w:val="00DC558C"/>
    <w:rsid w:val="00DC798E"/>
    <w:rsid w:val="00DD1AD2"/>
    <w:rsid w:val="00DD64CB"/>
    <w:rsid w:val="00DF1AB7"/>
    <w:rsid w:val="00DF44E6"/>
    <w:rsid w:val="00DF474E"/>
    <w:rsid w:val="00DF4F88"/>
    <w:rsid w:val="00E035F1"/>
    <w:rsid w:val="00E07C02"/>
    <w:rsid w:val="00E12B06"/>
    <w:rsid w:val="00E15BF6"/>
    <w:rsid w:val="00E16939"/>
    <w:rsid w:val="00E3051A"/>
    <w:rsid w:val="00E3367D"/>
    <w:rsid w:val="00E34273"/>
    <w:rsid w:val="00E42EC5"/>
    <w:rsid w:val="00E467AF"/>
    <w:rsid w:val="00E71CB9"/>
    <w:rsid w:val="00E73698"/>
    <w:rsid w:val="00E7404F"/>
    <w:rsid w:val="00E77E23"/>
    <w:rsid w:val="00E8251C"/>
    <w:rsid w:val="00E844A0"/>
    <w:rsid w:val="00E8483A"/>
    <w:rsid w:val="00E85EDD"/>
    <w:rsid w:val="00EA050F"/>
    <w:rsid w:val="00EA740D"/>
    <w:rsid w:val="00EB20E7"/>
    <w:rsid w:val="00EB4F4D"/>
    <w:rsid w:val="00EC0E75"/>
    <w:rsid w:val="00EC11F6"/>
    <w:rsid w:val="00EC7F33"/>
    <w:rsid w:val="00ED3A41"/>
    <w:rsid w:val="00EE3A93"/>
    <w:rsid w:val="00EE3D1F"/>
    <w:rsid w:val="00EE440B"/>
    <w:rsid w:val="00F12CD9"/>
    <w:rsid w:val="00F13ED2"/>
    <w:rsid w:val="00F17EFA"/>
    <w:rsid w:val="00F210E8"/>
    <w:rsid w:val="00F27ACB"/>
    <w:rsid w:val="00F355E8"/>
    <w:rsid w:val="00F3581D"/>
    <w:rsid w:val="00F3616F"/>
    <w:rsid w:val="00F3667C"/>
    <w:rsid w:val="00F5077C"/>
    <w:rsid w:val="00F54D7A"/>
    <w:rsid w:val="00F631DA"/>
    <w:rsid w:val="00F6618F"/>
    <w:rsid w:val="00F70DD5"/>
    <w:rsid w:val="00F72859"/>
    <w:rsid w:val="00F73165"/>
    <w:rsid w:val="00F73594"/>
    <w:rsid w:val="00F80728"/>
    <w:rsid w:val="00F84DAE"/>
    <w:rsid w:val="00F90385"/>
    <w:rsid w:val="00F90BCE"/>
    <w:rsid w:val="00F91102"/>
    <w:rsid w:val="00F96660"/>
    <w:rsid w:val="00FB1914"/>
    <w:rsid w:val="00FB5A4F"/>
    <w:rsid w:val="00FB5E19"/>
    <w:rsid w:val="00FC2881"/>
    <w:rsid w:val="00FD57C4"/>
    <w:rsid w:val="00FD7DC1"/>
    <w:rsid w:val="00FE72B0"/>
    <w:rsid w:val="00FF07F1"/>
    <w:rsid w:val="00FF30C9"/>
    <w:rsid w:val="00FF52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rules v:ext="edit">
        <o:r id="V:Rule2" type="connector" idref="#AutoShape 3"/>
      </o:rules>
    </o:shapelayout>
  </w:shapeDefaults>
  <w:decimalSymbol w:val="."/>
  <w:listSeparator w:val=","/>
  <w15:docId w15:val="{29D424E1-30B5-477F-9544-4459DD07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99" w:unhideWhenUsed="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6"/>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7"/>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8"/>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styleId="CommentText">
    <w:name w:val="annotation text"/>
    <w:basedOn w:val="Normal"/>
    <w:link w:val="CommentTextChar"/>
    <w:uiPriority w:val="99"/>
    <w:unhideWhenUsed/>
    <w:rsid w:val="00BA5D7D"/>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rsid w:val="00BA5D7D"/>
    <w:rPr>
      <w:rFonts w:ascii="Calibri" w:eastAsia="Times New Roman" w:hAnsi="Calibri"/>
    </w:rPr>
  </w:style>
  <w:style w:type="character" w:styleId="CommentReference">
    <w:name w:val="annotation reference"/>
    <w:basedOn w:val="DefaultParagraphFont"/>
    <w:uiPriority w:val="99"/>
    <w:semiHidden/>
    <w:unhideWhenUsed/>
    <w:rsid w:val="00BA5D7D"/>
    <w:rPr>
      <w:sz w:val="16"/>
      <w:szCs w:val="16"/>
    </w:rPr>
  </w:style>
  <w:style w:type="paragraph" w:styleId="ListParagraph">
    <w:name w:val="List Paragraph"/>
    <w:basedOn w:val="Normal"/>
    <w:link w:val="ListParagraphChar"/>
    <w:uiPriority w:val="1"/>
    <w:unhideWhenUsed/>
    <w:qFormat/>
    <w:rsid w:val="00076544"/>
    <w:pPr>
      <w:ind w:left="720"/>
      <w:contextualSpacing/>
    </w:pPr>
  </w:style>
  <w:style w:type="paragraph" w:styleId="CommentSubject">
    <w:name w:val="annotation subject"/>
    <w:basedOn w:val="CommentText"/>
    <w:next w:val="CommentText"/>
    <w:link w:val="CommentSubjectChar"/>
    <w:uiPriority w:val="1"/>
    <w:semiHidden/>
    <w:unhideWhenUsed/>
    <w:rsid w:val="00B618B9"/>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B618B9"/>
    <w:rPr>
      <w:rFonts w:ascii="Calibri" w:eastAsia="Times New Roman" w:hAnsi="Calibri"/>
      <w:b/>
      <w:bCs/>
      <w:lang w:val="en-AU"/>
    </w:rPr>
  </w:style>
  <w:style w:type="paragraph" w:customStyle="1" w:styleId="Default">
    <w:name w:val="Default"/>
    <w:link w:val="DefaultChar"/>
    <w:rsid w:val="00C31EC3"/>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C31EC3"/>
    <w:rPr>
      <w:rFonts w:eastAsiaTheme="minorHAnsi" w:cs="Arial"/>
      <w:color w:val="000000"/>
      <w:sz w:val="24"/>
      <w:szCs w:val="24"/>
      <w:lang w:val="en-AU"/>
    </w:rPr>
  </w:style>
  <w:style w:type="character" w:customStyle="1" w:styleId="AHPRASubheadingChar">
    <w:name w:val="AHPRA Subheading Char"/>
    <w:basedOn w:val="DefaultParagraphFont"/>
    <w:link w:val="AHPRASubheading"/>
    <w:rsid w:val="00DC798E"/>
    <w:rPr>
      <w:b/>
      <w:color w:val="007DC3"/>
      <w:szCs w:val="24"/>
      <w:lang w:val="en-AU"/>
    </w:rPr>
  </w:style>
  <w:style w:type="paragraph" w:customStyle="1" w:styleId="AHPRAnumberedsubheadinglevel10">
    <w:name w:val="AHPRA numbered subheading level 1"/>
    <w:basedOn w:val="AHPRASubheading"/>
    <w:next w:val="AHPRAnumberedbulletpoint"/>
    <w:rsid w:val="00DC798E"/>
    <w:pPr>
      <w:numPr>
        <w:numId w:val="9"/>
      </w:numPr>
      <w:tabs>
        <w:tab w:val="num" w:pos="360"/>
      </w:tabs>
      <w:ind w:left="369" w:hanging="369"/>
    </w:pPr>
    <w:rPr>
      <w:color w:val="008EC4"/>
      <w:lang w:val="en-US"/>
    </w:rPr>
  </w:style>
  <w:style w:type="paragraph" w:customStyle="1" w:styleId="AHPRAnumberedbulletpoint">
    <w:name w:val="AHPRA numbered bullet point"/>
    <w:basedOn w:val="AHPRAnumberedsubheadinglevel10"/>
    <w:link w:val="AHPRAnumberedbulletpointChar"/>
    <w:rsid w:val="00DC798E"/>
    <w:pPr>
      <w:numPr>
        <w:ilvl w:val="1"/>
      </w:numPr>
    </w:pPr>
    <w:rPr>
      <w:b w:val="0"/>
      <w:color w:val="auto"/>
    </w:rPr>
  </w:style>
  <w:style w:type="numbering" w:customStyle="1" w:styleId="AHPRAlist">
    <w:name w:val="AHPRA list"/>
    <w:uiPriority w:val="99"/>
    <w:rsid w:val="00DC798E"/>
    <w:pPr>
      <w:numPr>
        <w:numId w:val="10"/>
      </w:numPr>
    </w:pPr>
  </w:style>
  <w:style w:type="character" w:customStyle="1" w:styleId="AHPRAnumberedbulletpointChar">
    <w:name w:val="AHPRA numbered bullet point Char"/>
    <w:basedOn w:val="DefaultParagraphFont"/>
    <w:link w:val="AHPRAnumberedbulletpoint"/>
    <w:rsid w:val="00DC798E"/>
    <w:rPr>
      <w:szCs w:val="24"/>
    </w:rPr>
  </w:style>
  <w:style w:type="character" w:styleId="FollowedHyperlink">
    <w:name w:val="FollowedHyperlink"/>
    <w:basedOn w:val="DefaultParagraphFont"/>
    <w:uiPriority w:val="1"/>
    <w:semiHidden/>
    <w:unhideWhenUsed/>
    <w:rsid w:val="00595498"/>
    <w:rPr>
      <w:color w:val="800080" w:themeColor="followedHyperlink"/>
      <w:u w:val="single"/>
    </w:rPr>
  </w:style>
  <w:style w:type="paragraph" w:customStyle="1" w:styleId="TextSpacing">
    <w:name w:val="Text Spacing"/>
    <w:basedOn w:val="Default"/>
    <w:link w:val="TextSpacingChar"/>
    <w:uiPriority w:val="99"/>
    <w:rsid w:val="00D06809"/>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D06809"/>
    <w:rPr>
      <w:rFonts w:eastAsia="Times New Roman" w:cs="Arial"/>
      <w:color w:val="000000"/>
      <w:sz w:val="24"/>
      <w:szCs w:val="24"/>
      <w:lang w:val="en-AU" w:eastAsia="en-AU"/>
    </w:rPr>
  </w:style>
  <w:style w:type="paragraph" w:styleId="NoSpacing">
    <w:name w:val="No Spacing"/>
    <w:uiPriority w:val="99"/>
    <w:qFormat/>
    <w:rsid w:val="00B30BA1"/>
    <w:rPr>
      <w:rFonts w:ascii="Calibri" w:eastAsia="Times New Roman" w:hAnsi="Calibri"/>
      <w:sz w:val="22"/>
      <w:szCs w:val="22"/>
    </w:rPr>
  </w:style>
  <w:style w:type="character" w:customStyle="1" w:styleId="ListParagraphChar">
    <w:name w:val="List Paragraph Char"/>
    <w:link w:val="ListParagraph"/>
    <w:uiPriority w:val="99"/>
    <w:locked/>
    <w:rsid w:val="003F6AD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624455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54D39-004E-44B0-81B6-DDE36212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10078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Call for applications for appointment to the Chinese Medicine Accreditation Committee</dc:title>
  <dc:subject>Application guide</dc:subject>
  <dc:creator>Chinese Medicine Board</dc:creator>
  <cp:keywords>Guide</cp:keywords>
  <cp:lastModifiedBy>Sheryl Kamath</cp:lastModifiedBy>
  <cp:revision>2</cp:revision>
  <cp:lastPrinted>2014-08-21T06:21:00Z</cp:lastPrinted>
  <dcterms:created xsi:type="dcterms:W3CDTF">2016-03-30T00:40:00Z</dcterms:created>
  <dcterms:modified xsi:type="dcterms:W3CDTF">2016-03-30T00:40:00Z</dcterms:modified>
</cp:coreProperties>
</file>