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16D7" w14:textId="3F5F1889" w:rsidR="0001685A" w:rsidRPr="007059F2" w:rsidRDefault="007059F2" w:rsidP="0086579F">
      <w:pPr>
        <w:pStyle w:val="AHPRAitemheading"/>
        <w:numPr>
          <w:ilvl w:val="0"/>
          <w:numId w:val="0"/>
        </w:numPr>
        <w:ind w:left="1134" w:hanging="1134"/>
        <w:rPr>
          <w:sz w:val="24"/>
        </w:rPr>
      </w:pPr>
      <w:r w:rsidRPr="007059F2">
        <w:rPr>
          <w:sz w:val="24"/>
        </w:rPr>
        <w:t>Review of the regulation of podiatric surgeons</w:t>
      </w:r>
    </w:p>
    <w:p w14:paraId="3E3D162A" w14:textId="7A22A77A" w:rsidR="007059F2" w:rsidRDefault="007059F2" w:rsidP="007059F2">
      <w:pPr>
        <w:rPr>
          <w:b/>
          <w:color w:val="0067B9"/>
          <w:sz w:val="24"/>
          <w:lang w:val="en-US"/>
        </w:rPr>
      </w:pPr>
      <w:r w:rsidRPr="00CB4539">
        <w:rPr>
          <w:b/>
          <w:color w:val="0067B9"/>
          <w:sz w:val="24"/>
          <w:lang w:val="en-US"/>
        </w:rPr>
        <w:t>Terms of refere</w:t>
      </w:r>
      <w:r w:rsidR="00043E55" w:rsidRPr="00CB4539">
        <w:rPr>
          <w:b/>
          <w:color w:val="0067B9"/>
          <w:sz w:val="24"/>
          <w:lang w:val="en-US"/>
        </w:rPr>
        <w:t>nce</w:t>
      </w:r>
    </w:p>
    <w:p w14:paraId="1E7FEDD5" w14:textId="6E88DD3F" w:rsidR="00EF02D0" w:rsidRPr="00EF02D0" w:rsidRDefault="00ED0E8A" w:rsidP="007059F2">
      <w:pPr>
        <w:rPr>
          <w:bCs/>
          <w:szCs w:val="20"/>
          <w:lang w:val="en-US"/>
        </w:rPr>
      </w:pPr>
      <w:r>
        <w:rPr>
          <w:bCs/>
          <w:szCs w:val="20"/>
          <w:lang w:val="en-US"/>
        </w:rPr>
        <w:t xml:space="preserve">September </w:t>
      </w:r>
      <w:r w:rsidR="00EF02D0" w:rsidRPr="00EF02D0">
        <w:rPr>
          <w:bCs/>
          <w:szCs w:val="20"/>
          <w:lang w:val="en-US"/>
        </w:rPr>
        <w:t>2023</w:t>
      </w:r>
    </w:p>
    <w:p w14:paraId="5A652639" w14:textId="77777777" w:rsidR="009B61B0" w:rsidRPr="00436017" w:rsidRDefault="009B61B0" w:rsidP="0026585C">
      <w:pPr>
        <w:rPr>
          <w:rFonts w:cs="Arial"/>
          <w:b/>
          <w:szCs w:val="20"/>
          <w:lang w:val="en-US"/>
        </w:rPr>
      </w:pPr>
      <w:r w:rsidRPr="00436017">
        <w:rPr>
          <w:rFonts w:cs="Arial"/>
          <w:b/>
          <w:szCs w:val="20"/>
          <w:lang w:val="en-US"/>
        </w:rPr>
        <w:t>Background</w:t>
      </w:r>
    </w:p>
    <w:p w14:paraId="757830BF" w14:textId="1E5ACCD4" w:rsidR="009B61B0" w:rsidRDefault="009B61B0" w:rsidP="0026585C">
      <w:pPr>
        <w:rPr>
          <w:rFonts w:cs="Arial"/>
          <w:bCs/>
          <w:szCs w:val="20"/>
          <w:lang w:val="en-US"/>
        </w:rPr>
      </w:pPr>
      <w:r w:rsidRPr="00093067">
        <w:rPr>
          <w:rFonts w:cs="Arial"/>
          <w:bCs/>
          <w:szCs w:val="20"/>
          <w:lang w:val="en-US"/>
        </w:rPr>
        <w:t>The Podiatry Board of Australia (</w:t>
      </w:r>
      <w:r>
        <w:rPr>
          <w:rFonts w:cs="Arial"/>
          <w:bCs/>
          <w:szCs w:val="20"/>
          <w:lang w:val="en-US"/>
        </w:rPr>
        <w:t>Board</w:t>
      </w:r>
      <w:r w:rsidRPr="00093067">
        <w:rPr>
          <w:rFonts w:cs="Arial"/>
          <w:bCs/>
          <w:szCs w:val="20"/>
          <w:lang w:val="en-US"/>
        </w:rPr>
        <w:t xml:space="preserve">) </w:t>
      </w:r>
      <w:r>
        <w:rPr>
          <w:rFonts w:cs="Arial"/>
          <w:bCs/>
          <w:szCs w:val="20"/>
          <w:lang w:val="en-US"/>
        </w:rPr>
        <w:t>has been working in partnership with Ahpra to regulate the podiatry profession in Australia since 1 July 2010. The respective functions of the Board and Ahpra are set out in the National Law.</w:t>
      </w:r>
    </w:p>
    <w:p w14:paraId="1EF2F9A3" w14:textId="48C97BA5" w:rsidR="009B61B0" w:rsidRPr="00AE6A59" w:rsidRDefault="009B61B0" w:rsidP="0026585C">
      <w:pPr>
        <w:rPr>
          <w:rFonts w:cs="Arial"/>
          <w:bCs/>
          <w:szCs w:val="20"/>
          <w:lang w:val="en-US"/>
        </w:rPr>
      </w:pPr>
      <w:r w:rsidRPr="00AE6A59">
        <w:rPr>
          <w:rFonts w:cs="Arial"/>
          <w:bCs/>
          <w:szCs w:val="20"/>
          <w:lang w:val="en-US"/>
        </w:rPr>
        <w:t>Since 1 July 2010, specialist registration for the podiatry specialty of podiatric surgery has operated nationally, with the specialist title of ‘podiatric surgeon’. </w:t>
      </w:r>
      <w:r w:rsidR="00B91D80">
        <w:rPr>
          <w:rFonts w:cs="Arial"/>
          <w:bCs/>
          <w:szCs w:val="20"/>
          <w:lang w:val="en-US"/>
        </w:rPr>
        <w:t>18</w:t>
      </w:r>
      <w:r w:rsidR="00FE0379">
        <w:rPr>
          <w:rFonts w:cs="Arial"/>
          <w:bCs/>
          <w:szCs w:val="20"/>
          <w:lang w:val="en-US"/>
        </w:rPr>
        <w:t xml:space="preserve"> </w:t>
      </w:r>
      <w:r w:rsidRPr="00AE6A59">
        <w:rPr>
          <w:rFonts w:cs="Arial"/>
          <w:bCs/>
          <w:szCs w:val="20"/>
          <w:lang w:val="en-US"/>
        </w:rPr>
        <w:t>podiatric surgeons transitioned under the National Law to the National Registration and Accreditation Scheme (national scheme) with specialist registration</w:t>
      </w:r>
      <w:r w:rsidR="00EF02D0">
        <w:rPr>
          <w:rFonts w:cs="Arial"/>
          <w:bCs/>
          <w:szCs w:val="20"/>
          <w:lang w:val="en-US"/>
        </w:rPr>
        <w:t xml:space="preserve"> or were granted specialist registration in the first year of the scheme</w:t>
      </w:r>
      <w:r w:rsidRPr="00AE6A59">
        <w:rPr>
          <w:rFonts w:cs="Arial"/>
          <w:bCs/>
          <w:szCs w:val="20"/>
          <w:lang w:val="en-US"/>
        </w:rPr>
        <w:t xml:space="preserve">.  </w:t>
      </w:r>
    </w:p>
    <w:p w14:paraId="6A5FAB91" w14:textId="77777777" w:rsidR="009B61B0" w:rsidRPr="006C4FA9" w:rsidRDefault="009B61B0" w:rsidP="0026585C">
      <w:pPr>
        <w:rPr>
          <w:rFonts w:cs="Arial"/>
          <w:szCs w:val="20"/>
        </w:rPr>
      </w:pPr>
      <w:r>
        <w:rPr>
          <w:rFonts w:cs="Arial"/>
          <w:bCs/>
          <w:szCs w:val="20"/>
          <w:lang w:val="en-US"/>
        </w:rPr>
        <w:t xml:space="preserve">Currently there are 41 podiatric surgeons with specialist registration, which represents 0.7% of the podiatry profession. </w:t>
      </w:r>
      <w:r w:rsidRPr="00360261">
        <w:rPr>
          <w:rFonts w:cs="Arial"/>
          <w:szCs w:val="20"/>
        </w:rPr>
        <w:t>Podiatric surgeons primarily</w:t>
      </w:r>
      <w:r w:rsidRPr="00AF5FE7">
        <w:rPr>
          <w:rFonts w:cs="Arial"/>
          <w:szCs w:val="20"/>
        </w:rPr>
        <w:t xml:space="preserve"> work in private practice, and in private hospitals and day procedure centres.</w:t>
      </w:r>
    </w:p>
    <w:p w14:paraId="7345D335" w14:textId="77777777" w:rsidR="009B61B0" w:rsidRPr="00436017" w:rsidRDefault="009B61B0" w:rsidP="0026585C">
      <w:pPr>
        <w:pStyle w:val="BodyText"/>
        <w:rPr>
          <w:b/>
          <w:bCs/>
        </w:rPr>
      </w:pPr>
      <w:r>
        <w:rPr>
          <w:b/>
          <w:bCs/>
        </w:rPr>
        <w:t>Regulatory framework</w:t>
      </w:r>
    </w:p>
    <w:p w14:paraId="58C489EB" w14:textId="12A8F86E" w:rsidR="009B61B0" w:rsidRPr="00502C88" w:rsidRDefault="009B61B0" w:rsidP="0026585C">
      <w:pPr>
        <w:autoSpaceDE w:val="0"/>
        <w:autoSpaceDN w:val="0"/>
        <w:adjustRightInd w:val="0"/>
        <w:spacing w:after="0"/>
      </w:pPr>
      <w:r>
        <w:t xml:space="preserve">The regulatory framework for podiatric surgeons aims to protect the public </w:t>
      </w:r>
      <w:r>
        <w:rPr>
          <w:rFonts w:cs="Arial"/>
          <w:szCs w:val="20"/>
        </w:rPr>
        <w:t>by ensuring that only practitioners who are suitably trained and qualified to practice podiatric surgery in a competent and ethical manner are registered.</w:t>
      </w:r>
    </w:p>
    <w:p w14:paraId="06EBEB58" w14:textId="32F77F44" w:rsidR="009B61B0" w:rsidRDefault="009B61B0" w:rsidP="0026585C">
      <w:pPr>
        <w:pStyle w:val="BodyText"/>
        <w:rPr>
          <w:szCs w:val="20"/>
        </w:rPr>
      </w:pPr>
      <w:r>
        <w:t xml:space="preserve">The Board’s </w:t>
      </w:r>
      <w:r w:rsidR="00644E8F" w:rsidRPr="00323E6D">
        <w:rPr>
          <w:i/>
          <w:iCs/>
        </w:rPr>
        <w:t>P</w:t>
      </w:r>
      <w:r w:rsidRPr="00323E6D">
        <w:rPr>
          <w:i/>
          <w:iCs/>
        </w:rPr>
        <w:t>rofessional capabilities for podiatric surgeons</w:t>
      </w:r>
      <w:r>
        <w:t xml:space="preserve">, which have been in effect since 1 January 2022, identify the knowledge, skills and professional attributes needed to safely and competently practise as a podiatric surgeon in Australia. They describe the threshold or minimum level of professional capability required for registration as a podiatric surgeon. Podiatric surgeons are expected to </w:t>
      </w:r>
      <w:r w:rsidRPr="001E523B">
        <w:rPr>
          <w:szCs w:val="20"/>
        </w:rPr>
        <w:t>maintain at least the threshold level of professional capability in all areas relevant to their practice</w:t>
      </w:r>
      <w:r>
        <w:rPr>
          <w:szCs w:val="20"/>
        </w:rPr>
        <w:t xml:space="preserve"> of podiatric surgery.</w:t>
      </w:r>
    </w:p>
    <w:p w14:paraId="23B042D2" w14:textId="77777777" w:rsidR="009B61B0" w:rsidRDefault="009B61B0" w:rsidP="0026585C">
      <w:pPr>
        <w:pStyle w:val="BodyText"/>
      </w:pPr>
      <w:r>
        <w:rPr>
          <w:szCs w:val="20"/>
        </w:rPr>
        <w:t xml:space="preserve">The accreditation standards for podiatric surgery programs which have been in effect since 1 January 2022, require </w:t>
      </w:r>
      <w:r>
        <w:t>education providers to demonstrate that the learning outcomes and assessment tasks of their podiatric surgery course map to the professional capabilities for podiatric surgeons. This provides assurance to the Board that graduates of an accredited progam have the knowledge, skills and professional attributes needed to safely and competently practise as a podiatric surgeon in Australia.</w:t>
      </w:r>
    </w:p>
    <w:p w14:paraId="3C004071" w14:textId="5BDA1DE1" w:rsidR="009B61B0" w:rsidRDefault="009B61B0" w:rsidP="0026585C">
      <w:pPr>
        <w:pStyle w:val="BodyText"/>
      </w:pPr>
      <w:r>
        <w:t xml:space="preserve">Once registered, podiatric surgeons are expected to meet their </w:t>
      </w:r>
      <w:r w:rsidRPr="001E523B">
        <w:rPr>
          <w:szCs w:val="20"/>
        </w:rPr>
        <w:t xml:space="preserve">ethical responsibilities and </w:t>
      </w:r>
      <w:r>
        <w:rPr>
          <w:szCs w:val="20"/>
        </w:rPr>
        <w:t xml:space="preserve">professional </w:t>
      </w:r>
      <w:r w:rsidRPr="001E523B">
        <w:rPr>
          <w:szCs w:val="20"/>
        </w:rPr>
        <w:t xml:space="preserve">obligations set out in the Board’s </w:t>
      </w:r>
      <w:r w:rsidRPr="00323E6D">
        <w:rPr>
          <w:i/>
          <w:iCs/>
          <w:szCs w:val="20"/>
        </w:rPr>
        <w:t xml:space="preserve">Code of </w:t>
      </w:r>
      <w:r w:rsidR="00E82C93">
        <w:rPr>
          <w:i/>
          <w:iCs/>
          <w:szCs w:val="20"/>
        </w:rPr>
        <w:t>c</w:t>
      </w:r>
      <w:r w:rsidRPr="00323E6D">
        <w:rPr>
          <w:i/>
          <w:iCs/>
          <w:szCs w:val="20"/>
        </w:rPr>
        <w:t>onduct</w:t>
      </w:r>
      <w:r>
        <w:rPr>
          <w:szCs w:val="20"/>
        </w:rPr>
        <w:t xml:space="preserve"> and </w:t>
      </w:r>
      <w:r>
        <w:t xml:space="preserve">the Board’s standards for registration, including maintaining and </w:t>
      </w:r>
      <w:r w:rsidRPr="001E523B">
        <w:rPr>
          <w:szCs w:val="20"/>
        </w:rPr>
        <w:t>updat</w:t>
      </w:r>
      <w:r>
        <w:rPr>
          <w:szCs w:val="20"/>
        </w:rPr>
        <w:t>ing</w:t>
      </w:r>
      <w:r w:rsidRPr="001E523B">
        <w:rPr>
          <w:szCs w:val="20"/>
        </w:rPr>
        <w:t xml:space="preserve"> their knowledge and skills </w:t>
      </w:r>
      <w:r>
        <w:rPr>
          <w:szCs w:val="20"/>
        </w:rPr>
        <w:t xml:space="preserve">through continuing professional development; </w:t>
      </w:r>
      <w:r w:rsidRPr="001E523B">
        <w:rPr>
          <w:szCs w:val="20"/>
        </w:rPr>
        <w:t>recognis</w:t>
      </w:r>
      <w:r>
        <w:rPr>
          <w:szCs w:val="20"/>
        </w:rPr>
        <w:t>e</w:t>
      </w:r>
      <w:r w:rsidRPr="001E523B">
        <w:rPr>
          <w:szCs w:val="20"/>
        </w:rPr>
        <w:t xml:space="preserve"> and work within the limits of their competence and scope of practice; and practis</w:t>
      </w:r>
      <w:r>
        <w:rPr>
          <w:szCs w:val="20"/>
        </w:rPr>
        <w:t>e</w:t>
      </w:r>
      <w:r w:rsidRPr="001E523B">
        <w:rPr>
          <w:szCs w:val="20"/>
        </w:rPr>
        <w:t xml:space="preserve"> in accordance with the current and accepted evidence base of the profession, including clinical outcomes.</w:t>
      </w:r>
    </w:p>
    <w:p w14:paraId="70B4F3D5" w14:textId="77777777" w:rsidR="009B61B0" w:rsidRPr="00D378B5" w:rsidRDefault="009B61B0" w:rsidP="0026585C">
      <w:pPr>
        <w:pStyle w:val="BodyText"/>
        <w:rPr>
          <w:b/>
          <w:bCs/>
        </w:rPr>
      </w:pPr>
      <w:r w:rsidRPr="00D378B5">
        <w:rPr>
          <w:b/>
          <w:bCs/>
        </w:rPr>
        <w:t>Notifications about podiatric surgeons</w:t>
      </w:r>
    </w:p>
    <w:p w14:paraId="68FB28D7" w14:textId="77777777" w:rsidR="009B61B0" w:rsidRPr="00F177E5" w:rsidRDefault="009B61B0" w:rsidP="0026585C">
      <w:pPr>
        <w:pStyle w:val="ListParagraph"/>
        <w:spacing w:before="0" w:after="0" w:line="240" w:lineRule="auto"/>
        <w:ind w:left="0"/>
        <w:contextualSpacing w:val="0"/>
        <w:rPr>
          <w:rFonts w:ascii="Arial" w:hAnsi="Arial" w:cs="Arial"/>
          <w:sz w:val="20"/>
          <w:szCs w:val="20"/>
        </w:rPr>
      </w:pPr>
      <w:r w:rsidRPr="00F177E5">
        <w:rPr>
          <w:rFonts w:ascii="Arial" w:hAnsi="Arial" w:cs="Arial"/>
          <w:sz w:val="20"/>
          <w:szCs w:val="20"/>
        </w:rPr>
        <w:t xml:space="preserve">Where a podiatric surgeon’s professional conduct, performance or health raises concerns for public safety, regulatory action is available under the National Law to manage any risk to public. </w:t>
      </w:r>
    </w:p>
    <w:p w14:paraId="065AA0B1" w14:textId="77777777" w:rsidR="009B61B0" w:rsidRDefault="009B61B0" w:rsidP="0026585C">
      <w:pPr>
        <w:pStyle w:val="ListParagraph"/>
        <w:spacing w:before="0" w:after="0" w:line="240" w:lineRule="auto"/>
        <w:ind w:left="0"/>
        <w:contextualSpacing w:val="0"/>
        <w:rPr>
          <w:rFonts w:ascii="Arial" w:hAnsi="Arial" w:cs="Arial"/>
          <w:sz w:val="20"/>
          <w:szCs w:val="20"/>
        </w:rPr>
      </w:pPr>
    </w:p>
    <w:p w14:paraId="5DD35EF2" w14:textId="77777777" w:rsidR="009B61B0" w:rsidRDefault="009B61B0" w:rsidP="0026585C">
      <w:pPr>
        <w:pStyle w:val="ListParagraph"/>
        <w:spacing w:before="0" w:after="0" w:line="240" w:lineRule="auto"/>
        <w:ind w:left="0"/>
        <w:contextualSpacing w:val="0"/>
        <w:rPr>
          <w:rFonts w:ascii="Arial" w:hAnsi="Arial" w:cs="Arial"/>
          <w:sz w:val="20"/>
          <w:szCs w:val="20"/>
        </w:rPr>
      </w:pPr>
      <w:r>
        <w:rPr>
          <w:rFonts w:ascii="Arial" w:hAnsi="Arial" w:cs="Arial"/>
          <w:sz w:val="20"/>
          <w:szCs w:val="20"/>
        </w:rPr>
        <w:t>The</w:t>
      </w:r>
      <w:r w:rsidRPr="00F177E5">
        <w:rPr>
          <w:rFonts w:ascii="Arial" w:hAnsi="Arial" w:cs="Arial"/>
          <w:sz w:val="20"/>
          <w:szCs w:val="20"/>
        </w:rPr>
        <w:t xml:space="preserve"> Board manages notifications about the conduct or performance of registered podiatric surgeons in all states and territories apart from NSW and Queensland. In NSW, these matters are managed by the Podiatry Council of NSW supported by the NSW Health Professions Councils Authority (HPCA) and the Health Care Complaints Commission (HCCC), and in Queensland they are managed by the Office of the Health Ombudsman (OHO) who refers some matters to the Board and Ahpra to manage.  </w:t>
      </w:r>
    </w:p>
    <w:p w14:paraId="6887DE88" w14:textId="274B38CC" w:rsidR="00D80B0C" w:rsidRDefault="006F3793" w:rsidP="0026585C">
      <w:pPr>
        <w:pStyle w:val="AHPRASubheading"/>
        <w:rPr>
          <w:b w:val="0"/>
          <w:bCs/>
          <w:color w:val="auto"/>
          <w:szCs w:val="20"/>
        </w:rPr>
      </w:pPr>
      <w:r w:rsidRPr="00A86A70">
        <w:rPr>
          <w:rFonts w:cs="Arial"/>
          <w:b w:val="0"/>
          <w:bCs/>
          <w:color w:val="auto"/>
          <w:szCs w:val="20"/>
        </w:rPr>
        <w:t xml:space="preserve">Although </w:t>
      </w:r>
      <w:r w:rsidRPr="00A86A70">
        <w:rPr>
          <w:b w:val="0"/>
          <w:bCs/>
          <w:color w:val="auto"/>
          <w:szCs w:val="20"/>
        </w:rPr>
        <w:t xml:space="preserve">podiatric surgeons represent </w:t>
      </w:r>
      <w:r>
        <w:rPr>
          <w:b w:val="0"/>
          <w:bCs/>
          <w:color w:val="auto"/>
          <w:szCs w:val="20"/>
        </w:rPr>
        <w:t xml:space="preserve">only </w:t>
      </w:r>
      <w:r w:rsidR="00A7510C" w:rsidRPr="00A86A70">
        <w:rPr>
          <w:b w:val="0"/>
          <w:bCs/>
          <w:color w:val="auto"/>
          <w:szCs w:val="20"/>
        </w:rPr>
        <w:t>a small</w:t>
      </w:r>
      <w:r w:rsidRPr="00A86A70">
        <w:rPr>
          <w:b w:val="0"/>
          <w:bCs/>
          <w:color w:val="auto"/>
          <w:szCs w:val="20"/>
        </w:rPr>
        <w:t xml:space="preserve"> percent of the podiatry </w:t>
      </w:r>
      <w:r w:rsidR="00E85033" w:rsidRPr="00A86A70">
        <w:rPr>
          <w:b w:val="0"/>
          <w:bCs/>
          <w:color w:val="auto"/>
          <w:szCs w:val="20"/>
        </w:rPr>
        <w:t>profession,</w:t>
      </w:r>
      <w:r w:rsidRPr="00A86A70">
        <w:rPr>
          <w:b w:val="0"/>
          <w:bCs/>
          <w:color w:val="auto"/>
          <w:szCs w:val="20"/>
        </w:rPr>
        <w:t xml:space="preserve"> </w:t>
      </w:r>
      <w:r w:rsidR="00334097">
        <w:rPr>
          <w:b w:val="0"/>
          <w:bCs/>
          <w:color w:val="auto"/>
          <w:szCs w:val="20"/>
        </w:rPr>
        <w:t>they</w:t>
      </w:r>
      <w:r w:rsidR="009E376C">
        <w:rPr>
          <w:b w:val="0"/>
          <w:bCs/>
          <w:color w:val="auto"/>
          <w:szCs w:val="20"/>
        </w:rPr>
        <w:t xml:space="preserve"> are</w:t>
      </w:r>
      <w:r w:rsidRPr="00A86A70">
        <w:rPr>
          <w:b w:val="0"/>
          <w:bCs/>
          <w:color w:val="auto"/>
          <w:szCs w:val="20"/>
        </w:rPr>
        <w:t xml:space="preserve"> associated with a much higher rate of notifications than podiatrists.</w:t>
      </w:r>
      <w:r w:rsidR="00614E63">
        <w:rPr>
          <w:b w:val="0"/>
          <w:bCs/>
          <w:color w:val="auto"/>
          <w:szCs w:val="20"/>
        </w:rPr>
        <w:t xml:space="preserve"> </w:t>
      </w:r>
      <w:r w:rsidR="00E86D3B">
        <w:rPr>
          <w:b w:val="0"/>
          <w:bCs/>
          <w:color w:val="auto"/>
          <w:szCs w:val="20"/>
        </w:rPr>
        <w:t>M</w:t>
      </w:r>
      <w:r w:rsidR="009E376C">
        <w:rPr>
          <w:b w:val="0"/>
          <w:bCs/>
          <w:color w:val="auto"/>
          <w:szCs w:val="20"/>
        </w:rPr>
        <w:t>ost of the notifications received by the Board relate to a small number of individual podiatric surgeons</w:t>
      </w:r>
      <w:r w:rsidR="001F09D3">
        <w:rPr>
          <w:b w:val="0"/>
          <w:bCs/>
          <w:color w:val="auto"/>
          <w:szCs w:val="20"/>
        </w:rPr>
        <w:t>,</w:t>
      </w:r>
      <w:r w:rsidR="00E86D3B">
        <w:rPr>
          <w:b w:val="0"/>
          <w:bCs/>
          <w:color w:val="auto"/>
          <w:szCs w:val="20"/>
        </w:rPr>
        <w:t xml:space="preserve"> and </w:t>
      </w:r>
      <w:r w:rsidR="00B11F11" w:rsidRPr="00BF5607">
        <w:rPr>
          <w:b w:val="0"/>
          <w:bCs/>
          <w:color w:val="auto"/>
          <w:szCs w:val="20"/>
        </w:rPr>
        <w:t xml:space="preserve">some </w:t>
      </w:r>
      <w:r w:rsidR="00B11F11">
        <w:rPr>
          <w:b w:val="0"/>
          <w:bCs/>
          <w:color w:val="auto"/>
          <w:szCs w:val="20"/>
        </w:rPr>
        <w:t xml:space="preserve">have </w:t>
      </w:r>
      <w:r w:rsidR="00B11F11" w:rsidRPr="004A740A">
        <w:rPr>
          <w:b w:val="0"/>
          <w:bCs/>
          <w:color w:val="auto"/>
          <w:szCs w:val="20"/>
        </w:rPr>
        <w:t>raised serious concerns about patient safety</w:t>
      </w:r>
      <w:r w:rsidR="00E86D3B">
        <w:rPr>
          <w:b w:val="0"/>
          <w:bCs/>
          <w:color w:val="auto"/>
          <w:szCs w:val="20"/>
        </w:rPr>
        <w:t>.</w:t>
      </w:r>
    </w:p>
    <w:p w14:paraId="4FA00943" w14:textId="77777777" w:rsidR="00D80B0C" w:rsidRPr="00A8441F" w:rsidRDefault="00D80B0C" w:rsidP="0026585C">
      <w:pPr>
        <w:rPr>
          <w:rFonts w:cs="Arial"/>
          <w:b/>
          <w:szCs w:val="20"/>
          <w:lang w:val="en-US"/>
        </w:rPr>
      </w:pPr>
      <w:r w:rsidRPr="00A8441F">
        <w:rPr>
          <w:rFonts w:cs="Arial"/>
          <w:b/>
          <w:szCs w:val="20"/>
          <w:lang w:val="en-US"/>
        </w:rPr>
        <w:t>The review</w:t>
      </w:r>
    </w:p>
    <w:p w14:paraId="21817F94" w14:textId="2EDB34CE" w:rsidR="009B61B0" w:rsidRPr="004A740A" w:rsidRDefault="00EE4590" w:rsidP="0026585C">
      <w:pPr>
        <w:pStyle w:val="AHPRASubheading"/>
        <w:rPr>
          <w:b w:val="0"/>
          <w:bCs/>
          <w:color w:val="auto"/>
          <w:szCs w:val="20"/>
        </w:rPr>
      </w:pPr>
      <w:r>
        <w:rPr>
          <w:b w:val="0"/>
          <w:bCs/>
          <w:color w:val="auto"/>
          <w:szCs w:val="20"/>
        </w:rPr>
        <w:lastRenderedPageBreak/>
        <w:t>While</w:t>
      </w:r>
      <w:r w:rsidR="009B61B0" w:rsidRPr="00BF5607">
        <w:rPr>
          <w:b w:val="0"/>
          <w:bCs/>
          <w:color w:val="auto"/>
          <w:szCs w:val="20"/>
        </w:rPr>
        <w:t xml:space="preserve"> </w:t>
      </w:r>
      <w:r w:rsidR="00C41E38">
        <w:rPr>
          <w:b w:val="0"/>
          <w:bCs/>
          <w:color w:val="auto"/>
          <w:szCs w:val="20"/>
        </w:rPr>
        <w:t xml:space="preserve">the </w:t>
      </w:r>
      <w:r w:rsidR="009B61B0" w:rsidRPr="00BF5607">
        <w:rPr>
          <w:b w:val="0"/>
          <w:bCs/>
          <w:color w:val="auto"/>
          <w:szCs w:val="20"/>
        </w:rPr>
        <w:t xml:space="preserve">Board has </w:t>
      </w:r>
      <w:r w:rsidR="00537767" w:rsidRPr="00BF5607">
        <w:rPr>
          <w:b w:val="0"/>
          <w:bCs/>
          <w:color w:val="auto"/>
          <w:szCs w:val="20"/>
        </w:rPr>
        <w:t xml:space="preserve">taken </w:t>
      </w:r>
      <w:r w:rsidR="00611055" w:rsidRPr="00BF5607">
        <w:rPr>
          <w:b w:val="0"/>
          <w:bCs/>
          <w:color w:val="auto"/>
          <w:szCs w:val="20"/>
        </w:rPr>
        <w:t>the necessary regulat</w:t>
      </w:r>
      <w:r w:rsidR="00B02DCA" w:rsidRPr="00BF5607">
        <w:rPr>
          <w:b w:val="0"/>
          <w:bCs/>
          <w:color w:val="auto"/>
          <w:szCs w:val="20"/>
        </w:rPr>
        <w:t xml:space="preserve">ory </w:t>
      </w:r>
      <w:r w:rsidR="00136555" w:rsidRPr="00BF5607">
        <w:rPr>
          <w:b w:val="0"/>
          <w:bCs/>
          <w:color w:val="auto"/>
          <w:szCs w:val="20"/>
        </w:rPr>
        <w:t>action</w:t>
      </w:r>
      <w:r w:rsidR="00BF5607" w:rsidRPr="00BF5607">
        <w:rPr>
          <w:b w:val="0"/>
          <w:bCs/>
          <w:color w:val="auto"/>
          <w:szCs w:val="20"/>
        </w:rPr>
        <w:t xml:space="preserve"> </w:t>
      </w:r>
      <w:proofErr w:type="gramStart"/>
      <w:r w:rsidR="00BF5607" w:rsidRPr="00BF5607">
        <w:rPr>
          <w:b w:val="0"/>
          <w:bCs/>
          <w:color w:val="auto"/>
          <w:szCs w:val="20"/>
        </w:rPr>
        <w:t>with regard to</w:t>
      </w:r>
      <w:proofErr w:type="gramEnd"/>
      <w:r w:rsidR="00BF5607" w:rsidRPr="00BF5607">
        <w:rPr>
          <w:b w:val="0"/>
          <w:bCs/>
          <w:color w:val="auto"/>
          <w:szCs w:val="20"/>
        </w:rPr>
        <w:t xml:space="preserve"> </w:t>
      </w:r>
      <w:r w:rsidR="009B61B0" w:rsidRPr="00BF5607">
        <w:rPr>
          <w:b w:val="0"/>
          <w:bCs/>
          <w:color w:val="auto"/>
          <w:szCs w:val="20"/>
        </w:rPr>
        <w:t xml:space="preserve">notifications </w:t>
      </w:r>
      <w:r w:rsidR="009A0D80">
        <w:rPr>
          <w:b w:val="0"/>
          <w:bCs/>
          <w:color w:val="auto"/>
          <w:szCs w:val="20"/>
        </w:rPr>
        <w:t>it has received</w:t>
      </w:r>
      <w:r w:rsidR="008B557B">
        <w:rPr>
          <w:b w:val="0"/>
          <w:bCs/>
          <w:color w:val="auto"/>
          <w:szCs w:val="20"/>
        </w:rPr>
        <w:t xml:space="preserve"> about</w:t>
      </w:r>
      <w:r w:rsidR="00A016DB">
        <w:rPr>
          <w:b w:val="0"/>
          <w:bCs/>
          <w:color w:val="auto"/>
          <w:szCs w:val="20"/>
        </w:rPr>
        <w:t xml:space="preserve"> podiatric surgeons</w:t>
      </w:r>
      <w:r w:rsidR="00CE57D7" w:rsidRPr="004A740A">
        <w:rPr>
          <w:b w:val="0"/>
          <w:bCs/>
          <w:color w:val="auto"/>
          <w:szCs w:val="20"/>
        </w:rPr>
        <w:t>,</w:t>
      </w:r>
      <w:r w:rsidR="00C36BF4" w:rsidRPr="004A740A">
        <w:rPr>
          <w:b w:val="0"/>
          <w:bCs/>
          <w:color w:val="auto"/>
          <w:szCs w:val="20"/>
        </w:rPr>
        <w:t xml:space="preserve"> </w:t>
      </w:r>
      <w:r w:rsidRPr="004A740A">
        <w:rPr>
          <w:b w:val="0"/>
          <w:bCs/>
          <w:color w:val="auto"/>
          <w:szCs w:val="20"/>
        </w:rPr>
        <w:t>an</w:t>
      </w:r>
      <w:r w:rsidR="00C36BF4" w:rsidRPr="004A740A">
        <w:rPr>
          <w:b w:val="0"/>
          <w:bCs/>
          <w:color w:val="auto"/>
          <w:szCs w:val="20"/>
        </w:rPr>
        <w:t xml:space="preserve"> </w:t>
      </w:r>
      <w:r w:rsidR="00322BA9" w:rsidRPr="004A740A">
        <w:rPr>
          <w:rFonts w:cs="Arial"/>
          <w:b w:val="0"/>
          <w:bCs/>
          <w:color w:val="auto"/>
          <w:szCs w:val="20"/>
        </w:rPr>
        <w:t xml:space="preserve">independent review </w:t>
      </w:r>
      <w:r w:rsidR="00423950" w:rsidRPr="004A740A">
        <w:rPr>
          <w:rFonts w:cs="Arial"/>
          <w:b w:val="0"/>
          <w:bCs/>
          <w:color w:val="auto"/>
          <w:szCs w:val="20"/>
        </w:rPr>
        <w:t xml:space="preserve">may </w:t>
      </w:r>
      <w:r w:rsidR="00423950" w:rsidRPr="004A740A">
        <w:rPr>
          <w:b w:val="0"/>
          <w:bCs/>
          <w:color w:val="auto"/>
        </w:rPr>
        <w:t xml:space="preserve">identify opportunities for any improvements or changes to the </w:t>
      </w:r>
      <w:r w:rsidR="00E72D04" w:rsidRPr="004A740A">
        <w:rPr>
          <w:b w:val="0"/>
          <w:bCs/>
          <w:color w:val="auto"/>
        </w:rPr>
        <w:t xml:space="preserve">Board and </w:t>
      </w:r>
      <w:proofErr w:type="spellStart"/>
      <w:r w:rsidR="00E72D04" w:rsidRPr="004A740A">
        <w:rPr>
          <w:b w:val="0"/>
          <w:bCs/>
          <w:color w:val="auto"/>
        </w:rPr>
        <w:t>Ahpra’s</w:t>
      </w:r>
      <w:proofErr w:type="spellEnd"/>
      <w:r w:rsidR="00E72D04" w:rsidRPr="004A740A">
        <w:rPr>
          <w:b w:val="0"/>
          <w:bCs/>
          <w:color w:val="auto"/>
        </w:rPr>
        <w:t xml:space="preserve"> </w:t>
      </w:r>
      <w:r w:rsidR="00423950" w:rsidRPr="004A740A">
        <w:rPr>
          <w:b w:val="0"/>
          <w:bCs/>
          <w:color w:val="auto"/>
        </w:rPr>
        <w:t>regulatory framework</w:t>
      </w:r>
      <w:r w:rsidR="004A740A" w:rsidRPr="004A740A">
        <w:rPr>
          <w:b w:val="0"/>
          <w:bCs/>
          <w:color w:val="auto"/>
        </w:rPr>
        <w:t xml:space="preserve"> that will better protect the public.</w:t>
      </w:r>
    </w:p>
    <w:p w14:paraId="29FFA3CA" w14:textId="0EB5A6E4" w:rsidR="000D6579" w:rsidRPr="00337A58" w:rsidRDefault="009B61B0" w:rsidP="0026585C">
      <w:pPr>
        <w:spacing w:after="120"/>
        <w:rPr>
          <w:szCs w:val="20"/>
        </w:rPr>
      </w:pPr>
      <w:r w:rsidRPr="00323C8B">
        <w:rPr>
          <w:rFonts w:cs="Arial"/>
          <w:bCs/>
          <w:color w:val="222222"/>
          <w:szCs w:val="20"/>
          <w:shd w:val="clear" w:color="auto" w:fill="FFFFFF"/>
        </w:rPr>
        <w:t xml:space="preserve">The review </w:t>
      </w:r>
      <w:r w:rsidR="006B6F33">
        <w:rPr>
          <w:szCs w:val="20"/>
        </w:rPr>
        <w:t>of</w:t>
      </w:r>
      <w:r w:rsidR="000D6579" w:rsidRPr="0081535E">
        <w:rPr>
          <w:szCs w:val="20"/>
        </w:rPr>
        <w:t xml:space="preserve"> the existing regulatory framework </w:t>
      </w:r>
      <w:r w:rsidR="00C720B8">
        <w:rPr>
          <w:szCs w:val="20"/>
        </w:rPr>
        <w:t xml:space="preserve">for podiatric surgeons </w:t>
      </w:r>
      <w:r w:rsidR="006B6F33">
        <w:rPr>
          <w:szCs w:val="20"/>
        </w:rPr>
        <w:t>will</w:t>
      </w:r>
      <w:r w:rsidR="00C720B8">
        <w:rPr>
          <w:szCs w:val="20"/>
        </w:rPr>
        <w:t xml:space="preserve"> help ensure</w:t>
      </w:r>
      <w:r w:rsidR="000D6579" w:rsidRPr="0081535E">
        <w:rPr>
          <w:szCs w:val="20"/>
        </w:rPr>
        <w:t xml:space="preserve"> that </w:t>
      </w:r>
      <w:r w:rsidR="00C720B8">
        <w:rPr>
          <w:szCs w:val="20"/>
        </w:rPr>
        <w:t xml:space="preserve">the Board and </w:t>
      </w:r>
      <w:r w:rsidR="00C720B8" w:rsidRPr="0081535E">
        <w:rPr>
          <w:szCs w:val="20"/>
        </w:rPr>
        <w:t xml:space="preserve">Ahpra </w:t>
      </w:r>
      <w:r w:rsidR="00C720B8">
        <w:rPr>
          <w:szCs w:val="20"/>
        </w:rPr>
        <w:t>meet their</w:t>
      </w:r>
      <w:r w:rsidR="000D6579" w:rsidRPr="0081535E">
        <w:rPr>
          <w:szCs w:val="20"/>
        </w:rPr>
        <w:t xml:space="preserve"> statutory objective to provide for the protection of the public by ensuring that only practitioners who are suitably trained and qualified to practice </w:t>
      </w:r>
      <w:r w:rsidR="00314295">
        <w:rPr>
          <w:szCs w:val="20"/>
        </w:rPr>
        <w:t xml:space="preserve">podiatric surgery </w:t>
      </w:r>
      <w:r w:rsidR="000D6579" w:rsidRPr="0081535E">
        <w:rPr>
          <w:szCs w:val="20"/>
        </w:rPr>
        <w:t>in a competent and ethical manner are registered.</w:t>
      </w:r>
    </w:p>
    <w:p w14:paraId="4CD44628" w14:textId="130FA88D" w:rsidR="00CB4539" w:rsidRPr="00093067" w:rsidRDefault="00CB4539" w:rsidP="0026585C">
      <w:pPr>
        <w:rPr>
          <w:rFonts w:cs="Arial"/>
          <w:b/>
          <w:szCs w:val="20"/>
          <w:lang w:val="en-US"/>
        </w:rPr>
      </w:pPr>
      <w:r w:rsidRPr="00093067">
        <w:rPr>
          <w:rFonts w:cs="Arial"/>
          <w:b/>
          <w:szCs w:val="20"/>
          <w:lang w:val="en-US"/>
        </w:rPr>
        <w:t>Purpose</w:t>
      </w:r>
    </w:p>
    <w:p w14:paraId="1C163B05" w14:textId="3D714828" w:rsidR="004C7716" w:rsidRPr="00093067" w:rsidRDefault="004C7716" w:rsidP="0026585C">
      <w:pPr>
        <w:autoSpaceDE w:val="0"/>
        <w:autoSpaceDN w:val="0"/>
        <w:adjustRightInd w:val="0"/>
        <w:spacing w:after="0"/>
        <w:rPr>
          <w:rFonts w:cs="Arial"/>
          <w:szCs w:val="20"/>
        </w:rPr>
      </w:pPr>
      <w:r w:rsidRPr="00093067">
        <w:rPr>
          <w:rFonts w:cs="Arial"/>
          <w:szCs w:val="20"/>
        </w:rPr>
        <w:t xml:space="preserve">To review the existing regulation and regulatory practices in use by </w:t>
      </w:r>
      <w:r w:rsidR="00C47FB3" w:rsidRPr="00093067">
        <w:rPr>
          <w:rFonts w:cs="Arial"/>
          <w:szCs w:val="20"/>
        </w:rPr>
        <w:t xml:space="preserve">the Podiatry Board of Australia and </w:t>
      </w:r>
      <w:r w:rsidRPr="00093067">
        <w:rPr>
          <w:rFonts w:cs="Arial"/>
          <w:szCs w:val="20"/>
        </w:rPr>
        <w:t>Ahpra to ensure the</w:t>
      </w:r>
      <w:r w:rsidR="00591C86" w:rsidRPr="00093067">
        <w:rPr>
          <w:rFonts w:cs="Arial"/>
          <w:szCs w:val="20"/>
        </w:rPr>
        <w:t xml:space="preserve"> </w:t>
      </w:r>
      <w:r w:rsidR="008B04D4" w:rsidRPr="00093067">
        <w:rPr>
          <w:rFonts w:cs="Arial"/>
          <w:szCs w:val="20"/>
        </w:rPr>
        <w:t>appropriate standards</w:t>
      </w:r>
      <w:r w:rsidR="00AE2066">
        <w:rPr>
          <w:rFonts w:cs="Arial"/>
          <w:szCs w:val="20"/>
        </w:rPr>
        <w:t>, guidance</w:t>
      </w:r>
      <w:r w:rsidR="008B04D4" w:rsidRPr="00093067">
        <w:rPr>
          <w:rFonts w:cs="Arial"/>
          <w:szCs w:val="20"/>
        </w:rPr>
        <w:t xml:space="preserve"> </w:t>
      </w:r>
      <w:r w:rsidR="00D8219A" w:rsidRPr="00093067">
        <w:rPr>
          <w:rFonts w:cs="Arial"/>
          <w:szCs w:val="20"/>
        </w:rPr>
        <w:t>and proce</w:t>
      </w:r>
      <w:r w:rsidR="002C6E75" w:rsidRPr="00093067">
        <w:rPr>
          <w:rFonts w:cs="Arial"/>
          <w:szCs w:val="20"/>
        </w:rPr>
        <w:t>sses</w:t>
      </w:r>
      <w:r w:rsidR="00D8219A" w:rsidRPr="00093067">
        <w:rPr>
          <w:rFonts w:cs="Arial"/>
          <w:szCs w:val="20"/>
        </w:rPr>
        <w:t xml:space="preserve"> </w:t>
      </w:r>
      <w:r w:rsidR="00944B15" w:rsidRPr="00093067">
        <w:rPr>
          <w:rFonts w:cs="Arial"/>
          <w:szCs w:val="20"/>
        </w:rPr>
        <w:t>are in place to support safe</w:t>
      </w:r>
      <w:r w:rsidR="00CA0E63" w:rsidRPr="00093067">
        <w:rPr>
          <w:rFonts w:cs="Arial"/>
          <w:szCs w:val="20"/>
        </w:rPr>
        <w:t xml:space="preserve"> podiatric surgery practice </w:t>
      </w:r>
      <w:r w:rsidR="00E801E8">
        <w:rPr>
          <w:rFonts w:cs="Arial"/>
          <w:szCs w:val="20"/>
        </w:rPr>
        <w:t xml:space="preserve">by podiatric surgeons </w:t>
      </w:r>
      <w:r w:rsidR="00BE2CD5" w:rsidRPr="00093067">
        <w:rPr>
          <w:rFonts w:cs="Arial"/>
          <w:szCs w:val="20"/>
        </w:rPr>
        <w:t xml:space="preserve">in Australia </w:t>
      </w:r>
      <w:proofErr w:type="gramStart"/>
      <w:r w:rsidR="005B72F1" w:rsidRPr="00093067">
        <w:rPr>
          <w:rFonts w:cs="Arial"/>
          <w:szCs w:val="20"/>
        </w:rPr>
        <w:t xml:space="preserve">and </w:t>
      </w:r>
      <w:r w:rsidRPr="00093067">
        <w:rPr>
          <w:rFonts w:cs="Arial"/>
          <w:szCs w:val="20"/>
        </w:rPr>
        <w:t xml:space="preserve"> to</w:t>
      </w:r>
      <w:proofErr w:type="gramEnd"/>
      <w:r w:rsidRPr="00093067">
        <w:rPr>
          <w:rFonts w:cs="Arial"/>
          <w:szCs w:val="20"/>
        </w:rPr>
        <w:t xml:space="preserve"> make</w:t>
      </w:r>
      <w:r w:rsidR="005B72F1" w:rsidRPr="00093067">
        <w:rPr>
          <w:rFonts w:cs="Arial"/>
          <w:szCs w:val="20"/>
        </w:rPr>
        <w:t xml:space="preserve"> </w:t>
      </w:r>
      <w:r w:rsidRPr="00093067">
        <w:rPr>
          <w:rFonts w:cs="Arial"/>
          <w:szCs w:val="20"/>
        </w:rPr>
        <w:t>recommendations for any required changes.</w:t>
      </w:r>
    </w:p>
    <w:p w14:paraId="64EEA68D" w14:textId="77777777" w:rsidR="005B72F1" w:rsidRPr="00093067" w:rsidRDefault="005B72F1" w:rsidP="0026585C">
      <w:pPr>
        <w:autoSpaceDE w:val="0"/>
        <w:autoSpaceDN w:val="0"/>
        <w:adjustRightInd w:val="0"/>
        <w:spacing w:after="0"/>
        <w:rPr>
          <w:rFonts w:cs="Arial"/>
          <w:szCs w:val="20"/>
        </w:rPr>
      </w:pPr>
    </w:p>
    <w:p w14:paraId="1BE2E97D" w14:textId="48B590C7" w:rsidR="004C7716" w:rsidRPr="00093067" w:rsidRDefault="004C7716" w:rsidP="0026585C">
      <w:pPr>
        <w:autoSpaceDE w:val="0"/>
        <w:autoSpaceDN w:val="0"/>
        <w:adjustRightInd w:val="0"/>
        <w:rPr>
          <w:rFonts w:cs="Arial"/>
          <w:szCs w:val="20"/>
        </w:rPr>
      </w:pPr>
      <w:r w:rsidRPr="00093067">
        <w:rPr>
          <w:rFonts w:cs="Arial"/>
          <w:szCs w:val="20"/>
        </w:rPr>
        <w:t>This will be undertaken with reference to</w:t>
      </w:r>
      <w:r w:rsidR="00E44DAF">
        <w:rPr>
          <w:rFonts w:cs="Arial"/>
          <w:szCs w:val="20"/>
        </w:rPr>
        <w:t xml:space="preserve"> the</w:t>
      </w:r>
      <w:r w:rsidRPr="00093067">
        <w:rPr>
          <w:rFonts w:cs="Arial"/>
          <w:szCs w:val="20"/>
        </w:rPr>
        <w:t>:</w:t>
      </w:r>
    </w:p>
    <w:p w14:paraId="6B241C80" w14:textId="59B93A32" w:rsidR="004C7716" w:rsidRPr="00093067" w:rsidRDefault="004C7716" w:rsidP="0026585C">
      <w:pPr>
        <w:pStyle w:val="ListParagraph"/>
        <w:numPr>
          <w:ilvl w:val="0"/>
          <w:numId w:val="23"/>
        </w:numPr>
        <w:autoSpaceDE w:val="0"/>
        <w:autoSpaceDN w:val="0"/>
        <w:adjustRightInd w:val="0"/>
        <w:spacing w:after="0" w:line="240" w:lineRule="auto"/>
        <w:rPr>
          <w:rFonts w:ascii="Arial" w:hAnsi="Arial" w:cs="Arial"/>
          <w:sz w:val="20"/>
          <w:szCs w:val="20"/>
        </w:rPr>
      </w:pPr>
      <w:r w:rsidRPr="00093067">
        <w:rPr>
          <w:rFonts w:ascii="Arial" w:hAnsi="Arial" w:cs="Arial"/>
          <w:sz w:val="20"/>
          <w:szCs w:val="20"/>
        </w:rPr>
        <w:t>National Registration and Accreditation Scheme’s statutory objective to provide for the</w:t>
      </w:r>
    </w:p>
    <w:p w14:paraId="63664E43" w14:textId="77777777" w:rsidR="004C7716" w:rsidRPr="00093067" w:rsidRDefault="004C7716" w:rsidP="0026585C">
      <w:pPr>
        <w:autoSpaceDE w:val="0"/>
        <w:autoSpaceDN w:val="0"/>
        <w:adjustRightInd w:val="0"/>
        <w:spacing w:after="0"/>
        <w:ind w:firstLine="360"/>
        <w:rPr>
          <w:rFonts w:cs="Arial"/>
          <w:szCs w:val="20"/>
        </w:rPr>
      </w:pPr>
      <w:r w:rsidRPr="00093067">
        <w:rPr>
          <w:rFonts w:cs="Arial"/>
          <w:szCs w:val="20"/>
        </w:rPr>
        <w:t>protection of the public, and</w:t>
      </w:r>
    </w:p>
    <w:p w14:paraId="485E8992" w14:textId="31FA7ADD" w:rsidR="00D0499D" w:rsidRPr="00093067" w:rsidRDefault="004C7716" w:rsidP="0026585C">
      <w:pPr>
        <w:pStyle w:val="ListParagraph"/>
        <w:numPr>
          <w:ilvl w:val="0"/>
          <w:numId w:val="23"/>
        </w:numPr>
        <w:autoSpaceDE w:val="0"/>
        <w:autoSpaceDN w:val="0"/>
        <w:adjustRightInd w:val="0"/>
        <w:spacing w:after="0"/>
        <w:rPr>
          <w:rFonts w:ascii="Arial" w:hAnsi="Arial" w:cs="Arial"/>
          <w:b/>
          <w:sz w:val="20"/>
          <w:szCs w:val="20"/>
          <w:lang w:val="en-US"/>
        </w:rPr>
      </w:pPr>
      <w:r w:rsidRPr="00093067">
        <w:rPr>
          <w:rFonts w:ascii="Arial" w:hAnsi="Arial" w:cs="Arial"/>
          <w:sz w:val="20"/>
          <w:szCs w:val="20"/>
        </w:rPr>
        <w:t xml:space="preserve">responsibilities of </w:t>
      </w:r>
      <w:r w:rsidR="00646B61" w:rsidRPr="00093067">
        <w:rPr>
          <w:rFonts w:ascii="Arial" w:hAnsi="Arial" w:cs="Arial"/>
          <w:sz w:val="20"/>
          <w:szCs w:val="20"/>
        </w:rPr>
        <w:t xml:space="preserve">the Podiatry Board of Australia </w:t>
      </w:r>
      <w:r w:rsidR="00F724F5" w:rsidRPr="00093067">
        <w:rPr>
          <w:rFonts w:ascii="Arial" w:hAnsi="Arial" w:cs="Arial"/>
          <w:sz w:val="20"/>
          <w:szCs w:val="20"/>
        </w:rPr>
        <w:t xml:space="preserve">and </w:t>
      </w:r>
      <w:r w:rsidRPr="00093067">
        <w:rPr>
          <w:rFonts w:ascii="Arial" w:hAnsi="Arial" w:cs="Arial"/>
          <w:sz w:val="20"/>
          <w:szCs w:val="20"/>
        </w:rPr>
        <w:t xml:space="preserve">Ahpra </w:t>
      </w:r>
      <w:r w:rsidR="002E4E7E" w:rsidRPr="00093067">
        <w:rPr>
          <w:rFonts w:ascii="Arial" w:hAnsi="Arial" w:cs="Arial"/>
          <w:sz w:val="20"/>
          <w:szCs w:val="20"/>
        </w:rPr>
        <w:t>under the National Law</w:t>
      </w:r>
      <w:r w:rsidR="00E801E8">
        <w:rPr>
          <w:rFonts w:ascii="Arial" w:hAnsi="Arial" w:cs="Arial"/>
          <w:sz w:val="20"/>
          <w:szCs w:val="20"/>
        </w:rPr>
        <w:t>.</w:t>
      </w:r>
    </w:p>
    <w:p w14:paraId="1216CEF8" w14:textId="71B125EB" w:rsidR="00F36968" w:rsidRPr="00093067" w:rsidRDefault="00370958" w:rsidP="00292CDD">
      <w:pPr>
        <w:spacing w:before="200"/>
        <w:rPr>
          <w:rFonts w:cs="Arial"/>
          <w:b/>
          <w:szCs w:val="20"/>
          <w:lang w:val="en-US"/>
        </w:rPr>
      </w:pPr>
      <w:r w:rsidRPr="00093067">
        <w:rPr>
          <w:rFonts w:cs="Arial"/>
          <w:b/>
          <w:szCs w:val="20"/>
          <w:lang w:val="en-US"/>
        </w:rPr>
        <w:t>Scope</w:t>
      </w:r>
    </w:p>
    <w:p w14:paraId="558FE912" w14:textId="77777777" w:rsidR="00AB69AC" w:rsidRPr="00093067" w:rsidRDefault="00585D21" w:rsidP="0026585C">
      <w:pPr>
        <w:autoSpaceDE w:val="0"/>
        <w:autoSpaceDN w:val="0"/>
        <w:adjustRightInd w:val="0"/>
        <w:spacing w:after="0"/>
        <w:rPr>
          <w:rFonts w:cs="Arial"/>
          <w:color w:val="000000"/>
          <w:szCs w:val="20"/>
        </w:rPr>
      </w:pPr>
      <w:r w:rsidRPr="00093067">
        <w:rPr>
          <w:rFonts w:cs="Arial"/>
          <w:color w:val="000000"/>
          <w:szCs w:val="20"/>
        </w:rPr>
        <w:t>The review will inquire and report on</w:t>
      </w:r>
      <w:r w:rsidR="00AB69AC" w:rsidRPr="00093067">
        <w:rPr>
          <w:rFonts w:cs="Arial"/>
          <w:color w:val="000000"/>
          <w:szCs w:val="20"/>
        </w:rPr>
        <w:t>:</w:t>
      </w:r>
    </w:p>
    <w:p w14:paraId="7DF1697C" w14:textId="77777777" w:rsidR="00DF7ED8" w:rsidRPr="00093067" w:rsidRDefault="00DF7ED8" w:rsidP="0026585C">
      <w:pPr>
        <w:autoSpaceDE w:val="0"/>
        <w:autoSpaceDN w:val="0"/>
        <w:adjustRightInd w:val="0"/>
        <w:spacing w:after="0"/>
        <w:rPr>
          <w:rFonts w:cs="Arial"/>
          <w:color w:val="000000"/>
          <w:szCs w:val="20"/>
        </w:rPr>
      </w:pPr>
    </w:p>
    <w:p w14:paraId="10010A3E" w14:textId="4A6016B9" w:rsidR="00585D21" w:rsidRPr="00093067" w:rsidRDefault="00DF7ED8" w:rsidP="0026585C">
      <w:pPr>
        <w:tabs>
          <w:tab w:val="left" w:pos="426"/>
        </w:tabs>
        <w:autoSpaceDE w:val="0"/>
        <w:autoSpaceDN w:val="0"/>
        <w:adjustRightInd w:val="0"/>
        <w:spacing w:after="120"/>
        <w:rPr>
          <w:rFonts w:cs="Arial"/>
          <w:color w:val="000000"/>
          <w:szCs w:val="20"/>
        </w:rPr>
      </w:pPr>
      <w:r w:rsidRPr="00093067">
        <w:rPr>
          <w:rFonts w:cs="Arial"/>
          <w:color w:val="000000"/>
          <w:szCs w:val="20"/>
        </w:rPr>
        <w:t>1.</w:t>
      </w:r>
      <w:r w:rsidRPr="00093067">
        <w:rPr>
          <w:rFonts w:cs="Arial"/>
          <w:color w:val="000000"/>
          <w:szCs w:val="20"/>
        </w:rPr>
        <w:tab/>
      </w:r>
      <w:r w:rsidR="00AB69AC" w:rsidRPr="00093067">
        <w:rPr>
          <w:rFonts w:cs="Arial"/>
          <w:color w:val="000000"/>
          <w:szCs w:val="20"/>
        </w:rPr>
        <w:t>T</w:t>
      </w:r>
      <w:r w:rsidR="00FA79E5" w:rsidRPr="00093067">
        <w:rPr>
          <w:rFonts w:cs="Arial"/>
          <w:color w:val="000000"/>
          <w:szCs w:val="20"/>
        </w:rPr>
        <w:t>he regulation of podiatric surgeons by the Podiatry Board of Australia and Ahpra</w:t>
      </w:r>
      <w:r w:rsidR="004918AC" w:rsidRPr="00093067">
        <w:rPr>
          <w:rFonts w:cs="Arial"/>
          <w:color w:val="000000"/>
          <w:szCs w:val="20"/>
        </w:rPr>
        <w:t xml:space="preserve"> focus</w:t>
      </w:r>
      <w:r w:rsidR="007220D6" w:rsidRPr="00093067">
        <w:rPr>
          <w:rFonts w:cs="Arial"/>
          <w:color w:val="000000"/>
          <w:szCs w:val="20"/>
        </w:rPr>
        <w:t>sing</w:t>
      </w:r>
      <w:r w:rsidR="004918AC" w:rsidRPr="00093067">
        <w:rPr>
          <w:rFonts w:cs="Arial"/>
          <w:color w:val="000000"/>
          <w:szCs w:val="20"/>
        </w:rPr>
        <w:t xml:space="preserve"> on</w:t>
      </w:r>
      <w:r w:rsidR="00585D21" w:rsidRPr="00093067">
        <w:rPr>
          <w:rFonts w:cs="Arial"/>
          <w:color w:val="000000"/>
          <w:szCs w:val="20"/>
        </w:rPr>
        <w:t>:</w:t>
      </w:r>
    </w:p>
    <w:p w14:paraId="1754BCDC" w14:textId="3581F2F5" w:rsidR="00EF3DDE" w:rsidRPr="00093067" w:rsidRDefault="00093067" w:rsidP="0026585C">
      <w:pPr>
        <w:tabs>
          <w:tab w:val="left" w:pos="426"/>
          <w:tab w:val="left" w:pos="851"/>
        </w:tabs>
        <w:autoSpaceDE w:val="0"/>
        <w:autoSpaceDN w:val="0"/>
        <w:adjustRightInd w:val="0"/>
        <w:spacing w:after="0"/>
        <w:ind w:left="720" w:hanging="720"/>
        <w:rPr>
          <w:rFonts w:cs="Arial"/>
          <w:color w:val="000000"/>
          <w:szCs w:val="20"/>
        </w:rPr>
      </w:pPr>
      <w:r>
        <w:rPr>
          <w:rFonts w:cs="Arial"/>
          <w:color w:val="000000"/>
          <w:szCs w:val="20"/>
        </w:rPr>
        <w:tab/>
      </w:r>
      <w:r w:rsidR="00DF7ED8" w:rsidRPr="00093067">
        <w:rPr>
          <w:rFonts w:cs="Arial"/>
          <w:color w:val="000000"/>
          <w:szCs w:val="20"/>
        </w:rPr>
        <w:t>a.</w:t>
      </w:r>
      <w:r w:rsidR="00DF7ED8" w:rsidRPr="00093067">
        <w:rPr>
          <w:rFonts w:cs="Arial"/>
          <w:color w:val="000000"/>
          <w:szCs w:val="20"/>
        </w:rPr>
        <w:tab/>
      </w:r>
      <w:r w:rsidR="00EF3DDE" w:rsidRPr="00093067">
        <w:rPr>
          <w:rFonts w:cs="Arial"/>
          <w:color w:val="000000"/>
          <w:szCs w:val="20"/>
        </w:rPr>
        <w:t xml:space="preserve">updates to </w:t>
      </w:r>
      <w:r w:rsidR="00E47521" w:rsidRPr="00093067">
        <w:rPr>
          <w:rFonts w:cs="Arial"/>
          <w:color w:val="000000"/>
          <w:szCs w:val="20"/>
        </w:rPr>
        <w:t>s</w:t>
      </w:r>
      <w:r w:rsidR="0024494A" w:rsidRPr="00093067">
        <w:rPr>
          <w:rFonts w:cs="Arial"/>
          <w:color w:val="000000"/>
          <w:szCs w:val="20"/>
        </w:rPr>
        <w:t>tandards</w:t>
      </w:r>
      <w:r w:rsidR="00015227">
        <w:rPr>
          <w:rFonts w:cs="Arial"/>
          <w:color w:val="000000"/>
          <w:szCs w:val="20"/>
        </w:rPr>
        <w:t>,</w:t>
      </w:r>
      <w:r w:rsidR="00E700D5" w:rsidRPr="00093067">
        <w:rPr>
          <w:rFonts w:cs="Arial"/>
          <w:color w:val="000000"/>
          <w:szCs w:val="20"/>
        </w:rPr>
        <w:t xml:space="preserve"> </w:t>
      </w:r>
      <w:r w:rsidR="00EF3DDE" w:rsidRPr="00093067">
        <w:rPr>
          <w:rFonts w:cs="Arial"/>
          <w:color w:val="000000"/>
          <w:szCs w:val="20"/>
        </w:rPr>
        <w:t xml:space="preserve">supporting guidance </w:t>
      </w:r>
      <w:r w:rsidR="00015227">
        <w:rPr>
          <w:rFonts w:cs="Arial"/>
          <w:color w:val="000000"/>
          <w:szCs w:val="20"/>
        </w:rPr>
        <w:t xml:space="preserve">and professional capabilities </w:t>
      </w:r>
      <w:r w:rsidR="00EF3DDE" w:rsidRPr="00093067">
        <w:rPr>
          <w:rFonts w:cs="Arial"/>
          <w:color w:val="000000"/>
          <w:szCs w:val="20"/>
        </w:rPr>
        <w:t>which aim to ensure that podiatric surgeons</w:t>
      </w:r>
      <w:r w:rsidR="006C108A" w:rsidRPr="00093067">
        <w:rPr>
          <w:rFonts w:cs="Arial"/>
          <w:color w:val="000000"/>
          <w:szCs w:val="20"/>
        </w:rPr>
        <w:t xml:space="preserve"> </w:t>
      </w:r>
      <w:r w:rsidR="00EF3DDE" w:rsidRPr="00093067">
        <w:rPr>
          <w:rFonts w:cs="Arial"/>
          <w:color w:val="000000"/>
          <w:szCs w:val="20"/>
        </w:rPr>
        <w:t xml:space="preserve">practise </w:t>
      </w:r>
      <w:r w:rsidR="00E801E8">
        <w:rPr>
          <w:rFonts w:cs="Arial"/>
          <w:color w:val="000000"/>
          <w:szCs w:val="20"/>
        </w:rPr>
        <w:t xml:space="preserve">podiatric surgery </w:t>
      </w:r>
      <w:r w:rsidR="00EF3DDE" w:rsidRPr="00093067">
        <w:rPr>
          <w:rFonts w:cs="Arial"/>
          <w:color w:val="000000"/>
          <w:szCs w:val="20"/>
        </w:rPr>
        <w:t xml:space="preserve">safely within the scope of their qualifications, </w:t>
      </w:r>
      <w:proofErr w:type="gramStart"/>
      <w:r w:rsidR="00EF3DDE" w:rsidRPr="00093067">
        <w:rPr>
          <w:rFonts w:cs="Arial"/>
          <w:color w:val="000000"/>
          <w:szCs w:val="20"/>
        </w:rPr>
        <w:t>training</w:t>
      </w:r>
      <w:proofErr w:type="gramEnd"/>
      <w:r w:rsidR="00EF3DDE" w:rsidRPr="00093067">
        <w:rPr>
          <w:rFonts w:cs="Arial"/>
          <w:color w:val="000000"/>
          <w:szCs w:val="20"/>
        </w:rPr>
        <w:t xml:space="preserve"> and experience</w:t>
      </w:r>
    </w:p>
    <w:p w14:paraId="0FDC8453" w14:textId="1F70B61C" w:rsidR="00501B9E" w:rsidRPr="00093067" w:rsidRDefault="006C108A" w:rsidP="0026585C">
      <w:pPr>
        <w:tabs>
          <w:tab w:val="left" w:pos="426"/>
        </w:tabs>
        <w:autoSpaceDE w:val="0"/>
        <w:autoSpaceDN w:val="0"/>
        <w:adjustRightInd w:val="0"/>
        <w:spacing w:after="0"/>
        <w:rPr>
          <w:rFonts w:cs="Arial"/>
          <w:color w:val="000000"/>
          <w:szCs w:val="20"/>
        </w:rPr>
      </w:pPr>
      <w:r w:rsidRPr="00093067">
        <w:rPr>
          <w:rFonts w:cs="Arial"/>
          <w:color w:val="000000"/>
          <w:szCs w:val="20"/>
        </w:rPr>
        <w:tab/>
        <w:t>b.</w:t>
      </w:r>
      <w:r w:rsidRPr="00093067">
        <w:rPr>
          <w:rFonts w:cs="Arial"/>
          <w:color w:val="000000"/>
          <w:szCs w:val="20"/>
        </w:rPr>
        <w:tab/>
      </w:r>
      <w:r w:rsidR="00501B9E" w:rsidRPr="00093067">
        <w:rPr>
          <w:rFonts w:cs="Arial"/>
          <w:color w:val="000000"/>
          <w:szCs w:val="20"/>
        </w:rPr>
        <w:t>the risk assessment of notifications</w:t>
      </w:r>
      <w:r w:rsidR="00080BEE">
        <w:rPr>
          <w:rFonts w:cs="Arial"/>
          <w:color w:val="000000"/>
          <w:szCs w:val="20"/>
        </w:rPr>
        <w:t xml:space="preserve"> about podiatric surgeons</w:t>
      </w:r>
    </w:p>
    <w:p w14:paraId="272F3559" w14:textId="106A1C21" w:rsidR="00585D21" w:rsidRPr="00093067" w:rsidRDefault="00245593" w:rsidP="0026585C">
      <w:pPr>
        <w:tabs>
          <w:tab w:val="left" w:pos="426"/>
        </w:tabs>
        <w:autoSpaceDE w:val="0"/>
        <w:autoSpaceDN w:val="0"/>
        <w:adjustRightInd w:val="0"/>
        <w:spacing w:after="0"/>
        <w:rPr>
          <w:rFonts w:cs="Arial"/>
          <w:color w:val="000000"/>
          <w:szCs w:val="20"/>
        </w:rPr>
      </w:pPr>
      <w:r w:rsidRPr="00093067">
        <w:rPr>
          <w:rFonts w:cs="Arial"/>
          <w:color w:val="000000"/>
          <w:szCs w:val="20"/>
        </w:rPr>
        <w:tab/>
        <w:t>c.</w:t>
      </w:r>
      <w:r w:rsidRPr="00093067">
        <w:rPr>
          <w:rFonts w:cs="Arial"/>
          <w:color w:val="000000"/>
          <w:szCs w:val="20"/>
        </w:rPr>
        <w:tab/>
      </w:r>
      <w:r w:rsidR="00585D21" w:rsidRPr="00093067">
        <w:rPr>
          <w:rFonts w:cs="Arial"/>
          <w:color w:val="000000"/>
          <w:szCs w:val="20"/>
        </w:rPr>
        <w:t>the Ahpra investigation protocol</w:t>
      </w:r>
      <w:r w:rsidR="00B16EF1" w:rsidRPr="00093067">
        <w:rPr>
          <w:rFonts w:cs="Arial"/>
          <w:color w:val="000000"/>
          <w:szCs w:val="20"/>
        </w:rPr>
        <w:t xml:space="preserve"> </w:t>
      </w:r>
      <w:proofErr w:type="gramStart"/>
      <w:r w:rsidR="00B16EF1" w:rsidRPr="00093067">
        <w:rPr>
          <w:rFonts w:cs="Arial"/>
          <w:color w:val="000000"/>
          <w:szCs w:val="20"/>
        </w:rPr>
        <w:t>with regard to</w:t>
      </w:r>
      <w:proofErr w:type="gramEnd"/>
      <w:r w:rsidR="00B16EF1" w:rsidRPr="00093067">
        <w:rPr>
          <w:rFonts w:cs="Arial"/>
          <w:color w:val="000000"/>
          <w:szCs w:val="20"/>
        </w:rPr>
        <w:t xml:space="preserve"> podiatric surgeons</w:t>
      </w:r>
    </w:p>
    <w:p w14:paraId="2309BDA2" w14:textId="72C2FFC2" w:rsidR="00935200" w:rsidRPr="00093067" w:rsidRDefault="00AE30FB" w:rsidP="0026585C">
      <w:pPr>
        <w:tabs>
          <w:tab w:val="left" w:pos="426"/>
        </w:tabs>
        <w:autoSpaceDE w:val="0"/>
        <w:autoSpaceDN w:val="0"/>
        <w:adjustRightInd w:val="0"/>
        <w:spacing w:after="0"/>
        <w:rPr>
          <w:rFonts w:cs="Arial"/>
          <w:color w:val="000000"/>
          <w:szCs w:val="20"/>
        </w:rPr>
      </w:pPr>
      <w:r>
        <w:rPr>
          <w:rFonts w:cs="Arial"/>
          <w:color w:val="000000"/>
          <w:szCs w:val="20"/>
        </w:rPr>
        <w:tab/>
      </w:r>
      <w:r w:rsidR="00585D21" w:rsidRPr="00093067">
        <w:rPr>
          <w:rFonts w:cs="Arial"/>
          <w:color w:val="000000"/>
          <w:szCs w:val="20"/>
        </w:rPr>
        <w:t xml:space="preserve">d. </w:t>
      </w:r>
      <w:r w:rsidR="00612AF4" w:rsidRPr="00093067">
        <w:rPr>
          <w:rFonts w:cs="Arial"/>
          <w:color w:val="000000"/>
          <w:szCs w:val="20"/>
        </w:rPr>
        <w:tab/>
      </w:r>
      <w:r w:rsidR="00585D21" w:rsidRPr="00093067">
        <w:rPr>
          <w:rFonts w:cs="Arial"/>
          <w:color w:val="000000"/>
          <w:szCs w:val="20"/>
        </w:rPr>
        <w:t>the management of advertising offences, and</w:t>
      </w:r>
      <w:r w:rsidR="00612AF4" w:rsidRPr="00093067">
        <w:rPr>
          <w:rFonts w:cs="Arial"/>
          <w:color w:val="000000"/>
          <w:szCs w:val="20"/>
        </w:rPr>
        <w:tab/>
      </w:r>
    </w:p>
    <w:p w14:paraId="7AE6DB29" w14:textId="60DFC5FC" w:rsidR="00585D21" w:rsidRPr="00093067" w:rsidRDefault="00612AF4" w:rsidP="0026585C">
      <w:pPr>
        <w:tabs>
          <w:tab w:val="left" w:pos="426"/>
        </w:tabs>
        <w:autoSpaceDE w:val="0"/>
        <w:autoSpaceDN w:val="0"/>
        <w:adjustRightInd w:val="0"/>
        <w:spacing w:after="0"/>
        <w:ind w:left="716" w:hanging="290"/>
        <w:rPr>
          <w:rFonts w:cs="Arial"/>
          <w:color w:val="000000"/>
          <w:szCs w:val="20"/>
        </w:rPr>
      </w:pPr>
      <w:r w:rsidRPr="00093067">
        <w:rPr>
          <w:rFonts w:cs="Arial"/>
          <w:color w:val="000000"/>
          <w:szCs w:val="20"/>
        </w:rPr>
        <w:t>e.</w:t>
      </w:r>
      <w:r w:rsidRPr="00093067">
        <w:rPr>
          <w:rFonts w:cs="Arial"/>
          <w:color w:val="000000"/>
          <w:szCs w:val="20"/>
        </w:rPr>
        <w:tab/>
      </w:r>
      <w:r w:rsidR="00585D21" w:rsidRPr="00093067">
        <w:rPr>
          <w:rFonts w:cs="Arial"/>
          <w:color w:val="000000"/>
          <w:szCs w:val="20"/>
        </w:rPr>
        <w:t xml:space="preserve">opportunities for changes, </w:t>
      </w:r>
      <w:proofErr w:type="gramStart"/>
      <w:r w:rsidR="00585D21" w:rsidRPr="00093067">
        <w:rPr>
          <w:rFonts w:cs="Arial"/>
          <w:color w:val="000000"/>
          <w:szCs w:val="20"/>
        </w:rPr>
        <w:t>clarifications</w:t>
      </w:r>
      <w:proofErr w:type="gramEnd"/>
      <w:r w:rsidR="00585D21" w:rsidRPr="00093067">
        <w:rPr>
          <w:rFonts w:cs="Arial"/>
          <w:color w:val="000000"/>
          <w:szCs w:val="20"/>
        </w:rPr>
        <w:t xml:space="preserve"> or further actions in relation to the current regulatory</w:t>
      </w:r>
      <w:r w:rsidR="00935200" w:rsidRPr="00093067">
        <w:rPr>
          <w:rFonts w:cs="Arial"/>
          <w:color w:val="000000"/>
          <w:szCs w:val="20"/>
        </w:rPr>
        <w:t xml:space="preserve"> </w:t>
      </w:r>
      <w:r w:rsidR="00585D21" w:rsidRPr="00093067">
        <w:rPr>
          <w:rFonts w:cs="Arial"/>
          <w:color w:val="000000"/>
          <w:szCs w:val="20"/>
        </w:rPr>
        <w:t xml:space="preserve">approach to </w:t>
      </w:r>
      <w:r w:rsidR="00E700D5" w:rsidRPr="00093067">
        <w:rPr>
          <w:rFonts w:cs="Arial"/>
          <w:color w:val="000000"/>
          <w:szCs w:val="20"/>
        </w:rPr>
        <w:t>podiatric surgeons</w:t>
      </w:r>
      <w:r w:rsidR="00585D21" w:rsidRPr="00093067">
        <w:rPr>
          <w:rFonts w:cs="Arial"/>
          <w:color w:val="000000"/>
          <w:szCs w:val="20"/>
        </w:rPr>
        <w:t>.</w:t>
      </w:r>
    </w:p>
    <w:p w14:paraId="5988554B" w14:textId="0B22088D" w:rsidR="00585D21" w:rsidRPr="00093067" w:rsidRDefault="00585D21" w:rsidP="0026585C">
      <w:pPr>
        <w:tabs>
          <w:tab w:val="left" w:pos="426"/>
        </w:tabs>
        <w:autoSpaceDE w:val="0"/>
        <w:autoSpaceDN w:val="0"/>
        <w:adjustRightInd w:val="0"/>
        <w:spacing w:after="0"/>
        <w:rPr>
          <w:rFonts w:cs="Arial"/>
          <w:color w:val="000000"/>
          <w:szCs w:val="20"/>
        </w:rPr>
      </w:pPr>
    </w:p>
    <w:p w14:paraId="74E8342B" w14:textId="29808870" w:rsidR="0083432D" w:rsidRPr="00093067" w:rsidRDefault="00935200" w:rsidP="0026585C">
      <w:pPr>
        <w:tabs>
          <w:tab w:val="left" w:pos="426"/>
        </w:tabs>
        <w:autoSpaceDE w:val="0"/>
        <w:autoSpaceDN w:val="0"/>
        <w:adjustRightInd w:val="0"/>
        <w:spacing w:after="0"/>
        <w:ind w:left="720" w:hanging="720"/>
        <w:rPr>
          <w:rFonts w:cs="Arial"/>
          <w:szCs w:val="20"/>
        </w:rPr>
      </w:pPr>
      <w:r w:rsidRPr="00093067">
        <w:rPr>
          <w:rFonts w:cs="Arial"/>
          <w:color w:val="000000"/>
          <w:szCs w:val="20"/>
        </w:rPr>
        <w:t>2.</w:t>
      </w:r>
      <w:r w:rsidR="0083432D" w:rsidRPr="00093067">
        <w:rPr>
          <w:rFonts w:cs="Arial"/>
          <w:szCs w:val="20"/>
        </w:rPr>
        <w:tab/>
        <w:t xml:space="preserve">Provide a contemporary view of current risks to patient safety in </w:t>
      </w:r>
      <w:r w:rsidR="008D1A8D">
        <w:rPr>
          <w:rFonts w:cs="Arial"/>
          <w:szCs w:val="20"/>
        </w:rPr>
        <w:t xml:space="preserve">podiatric </w:t>
      </w:r>
      <w:r w:rsidR="0083432D" w:rsidRPr="00093067">
        <w:rPr>
          <w:rFonts w:cs="Arial"/>
          <w:szCs w:val="20"/>
        </w:rPr>
        <w:t>surgery and how they</w:t>
      </w:r>
    </w:p>
    <w:p w14:paraId="770203B2" w14:textId="07C84770" w:rsidR="002121E4" w:rsidRPr="00093067" w:rsidRDefault="0083432D" w:rsidP="0026585C">
      <w:pPr>
        <w:tabs>
          <w:tab w:val="left" w:pos="426"/>
        </w:tabs>
        <w:autoSpaceDE w:val="0"/>
        <w:autoSpaceDN w:val="0"/>
        <w:adjustRightInd w:val="0"/>
        <w:spacing w:after="0"/>
        <w:ind w:firstLine="426"/>
        <w:rPr>
          <w:rFonts w:cs="Arial"/>
          <w:color w:val="000000"/>
          <w:szCs w:val="20"/>
        </w:rPr>
      </w:pPr>
      <w:r w:rsidRPr="00093067">
        <w:rPr>
          <w:rFonts w:cs="Arial"/>
          <w:szCs w:val="20"/>
        </w:rPr>
        <w:t>should inform the work of the Pod</w:t>
      </w:r>
      <w:r w:rsidR="00093067" w:rsidRPr="00093067">
        <w:rPr>
          <w:rFonts w:cs="Arial"/>
          <w:szCs w:val="20"/>
        </w:rPr>
        <w:t xml:space="preserve">iatry Board of Australia and </w:t>
      </w:r>
      <w:r w:rsidRPr="00093067">
        <w:rPr>
          <w:rFonts w:cs="Arial"/>
          <w:szCs w:val="20"/>
        </w:rPr>
        <w:t>Ahpra</w:t>
      </w:r>
      <w:r w:rsidR="00FB543A">
        <w:rPr>
          <w:rFonts w:cs="Arial"/>
          <w:szCs w:val="20"/>
        </w:rPr>
        <w:t>.</w:t>
      </w:r>
      <w:r w:rsidRPr="00093067">
        <w:rPr>
          <w:rFonts w:cs="Arial"/>
          <w:szCs w:val="20"/>
        </w:rPr>
        <w:t xml:space="preserve"> </w:t>
      </w:r>
    </w:p>
    <w:p w14:paraId="59378905" w14:textId="6E89F70E" w:rsidR="00585D21" w:rsidRPr="00093067" w:rsidRDefault="00585D21" w:rsidP="0026585C">
      <w:pPr>
        <w:autoSpaceDE w:val="0"/>
        <w:autoSpaceDN w:val="0"/>
        <w:adjustRightInd w:val="0"/>
        <w:spacing w:before="120" w:after="0"/>
        <w:rPr>
          <w:rFonts w:cs="Arial"/>
          <w:color w:val="000000"/>
          <w:szCs w:val="20"/>
        </w:rPr>
      </w:pPr>
      <w:proofErr w:type="gramStart"/>
      <w:r w:rsidRPr="00093067">
        <w:rPr>
          <w:rFonts w:cs="Arial"/>
          <w:color w:val="000000"/>
          <w:szCs w:val="20"/>
        </w:rPr>
        <w:t>For the purpose of</w:t>
      </w:r>
      <w:proofErr w:type="gramEnd"/>
      <w:r w:rsidRPr="00093067">
        <w:rPr>
          <w:rFonts w:cs="Arial"/>
          <w:color w:val="000000"/>
          <w:szCs w:val="20"/>
        </w:rPr>
        <w:t xml:space="preserve"> making its recommendations, the review is requested to consider approaches</w:t>
      </w:r>
    </w:p>
    <w:p w14:paraId="42905A3C" w14:textId="77777777" w:rsidR="00585D21" w:rsidRPr="00093067" w:rsidRDefault="00585D21" w:rsidP="0026585C">
      <w:pPr>
        <w:autoSpaceDE w:val="0"/>
        <w:autoSpaceDN w:val="0"/>
        <w:adjustRightInd w:val="0"/>
        <w:spacing w:after="0"/>
        <w:rPr>
          <w:rFonts w:cs="Arial"/>
          <w:color w:val="000000"/>
          <w:szCs w:val="20"/>
        </w:rPr>
      </w:pPr>
      <w:r w:rsidRPr="00093067">
        <w:rPr>
          <w:rFonts w:cs="Arial"/>
          <w:color w:val="000000"/>
          <w:szCs w:val="20"/>
        </w:rPr>
        <w:t>adopted by professional regulators in other countries.</w:t>
      </w:r>
    </w:p>
    <w:p w14:paraId="0FF54A31" w14:textId="77777777" w:rsidR="002121E4" w:rsidRDefault="002121E4" w:rsidP="0026585C">
      <w:pPr>
        <w:autoSpaceDE w:val="0"/>
        <w:autoSpaceDN w:val="0"/>
        <w:adjustRightInd w:val="0"/>
        <w:spacing w:after="0"/>
        <w:rPr>
          <w:rFonts w:ascii="CeraPro-Regular" w:hAnsi="CeraPro-Regular" w:cs="CeraPro-Regular"/>
          <w:color w:val="000000"/>
          <w:szCs w:val="20"/>
        </w:rPr>
      </w:pPr>
    </w:p>
    <w:p w14:paraId="2B56F133" w14:textId="320E4235" w:rsidR="00370958" w:rsidRDefault="00C91238" w:rsidP="0026585C">
      <w:pPr>
        <w:rPr>
          <w:b/>
          <w:szCs w:val="20"/>
          <w:lang w:val="en-US"/>
        </w:rPr>
      </w:pPr>
      <w:r>
        <w:rPr>
          <w:b/>
          <w:szCs w:val="20"/>
          <w:lang w:val="en-US"/>
        </w:rPr>
        <w:t>Reviewer</w:t>
      </w:r>
    </w:p>
    <w:p w14:paraId="2B621E5E" w14:textId="01FBF5AF" w:rsidR="00506A13" w:rsidRPr="00506A13" w:rsidRDefault="00ED0E8A" w:rsidP="0026585C">
      <w:pPr>
        <w:rPr>
          <w:bCs/>
          <w:szCs w:val="20"/>
          <w:lang w:val="en-US"/>
        </w:rPr>
      </w:pPr>
      <w:r>
        <w:rPr>
          <w:bCs/>
          <w:szCs w:val="20"/>
          <w:lang w:val="en-US"/>
        </w:rPr>
        <w:t>Professor Ron Paterson</w:t>
      </w:r>
    </w:p>
    <w:p w14:paraId="53BE2F53" w14:textId="77AE7D3E" w:rsidR="0057583D" w:rsidRDefault="00443466" w:rsidP="0026585C">
      <w:pPr>
        <w:rPr>
          <w:b/>
          <w:szCs w:val="20"/>
          <w:lang w:val="en-US"/>
        </w:rPr>
      </w:pPr>
      <w:r>
        <w:rPr>
          <w:b/>
          <w:szCs w:val="20"/>
          <w:lang w:val="en-US"/>
        </w:rPr>
        <w:t xml:space="preserve">Key </w:t>
      </w:r>
      <w:r w:rsidR="0057583D">
        <w:rPr>
          <w:b/>
          <w:szCs w:val="20"/>
          <w:lang w:val="en-US"/>
        </w:rPr>
        <w:t>definitions</w:t>
      </w:r>
    </w:p>
    <w:p w14:paraId="6860199D" w14:textId="57BEA27B" w:rsidR="000D34CA" w:rsidRPr="000D34CA" w:rsidRDefault="000D34CA" w:rsidP="0026585C">
      <w:pPr>
        <w:pStyle w:val="AHPRAbody"/>
        <w:rPr>
          <w:bCs/>
        </w:rPr>
      </w:pPr>
      <w:r>
        <w:rPr>
          <w:b/>
        </w:rPr>
        <w:t xml:space="preserve">Ahpra </w:t>
      </w:r>
      <w:r w:rsidRPr="000D34CA">
        <w:rPr>
          <w:bCs/>
        </w:rPr>
        <w:t xml:space="preserve">means the </w:t>
      </w:r>
      <w:r w:rsidR="00E57AA8">
        <w:rPr>
          <w:bCs/>
        </w:rPr>
        <w:t>Australian Health Practitioner Regulation Agency</w:t>
      </w:r>
    </w:p>
    <w:p w14:paraId="342E2CD2" w14:textId="2173891E" w:rsidR="000D34CA" w:rsidRPr="00510506" w:rsidRDefault="000D34CA" w:rsidP="0026585C">
      <w:pPr>
        <w:pStyle w:val="AHPRAbody"/>
      </w:pPr>
      <w:r w:rsidRPr="00510506">
        <w:rPr>
          <w:b/>
        </w:rPr>
        <w:t xml:space="preserve">National Law </w:t>
      </w:r>
      <w:r w:rsidRPr="00510506">
        <w:t>means the Health Practitioner Regulation National Law, as in force in each state and territory.</w:t>
      </w:r>
    </w:p>
    <w:p w14:paraId="7C07AF3A" w14:textId="77777777" w:rsidR="000D34CA" w:rsidRPr="00370958" w:rsidRDefault="000D34CA" w:rsidP="0026585C">
      <w:pPr>
        <w:rPr>
          <w:b/>
          <w:szCs w:val="20"/>
          <w:lang w:val="en-US"/>
        </w:rPr>
      </w:pPr>
    </w:p>
    <w:sectPr w:rsidR="000D34CA" w:rsidRPr="00370958" w:rsidSect="008F66A8">
      <w:headerReference w:type="default" r:id="rId11"/>
      <w:footerReference w:type="even" r:id="rId12"/>
      <w:footerReference w:type="default" r:id="rId13"/>
      <w:headerReference w:type="first" r:id="rId14"/>
      <w:pgSz w:w="11900" w:h="16840"/>
      <w:pgMar w:top="1392" w:right="1247" w:bottom="992" w:left="1247"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0C22" w14:textId="77777777" w:rsidR="00022DEE" w:rsidRDefault="00022DEE" w:rsidP="00FC2881">
      <w:pPr>
        <w:spacing w:after="0"/>
      </w:pPr>
      <w:r>
        <w:separator/>
      </w:r>
    </w:p>
    <w:p w14:paraId="3AB05ED3" w14:textId="77777777" w:rsidR="00022DEE" w:rsidRDefault="00022DEE"/>
  </w:endnote>
  <w:endnote w:type="continuationSeparator" w:id="0">
    <w:p w14:paraId="009AF214" w14:textId="77777777" w:rsidR="00022DEE" w:rsidRDefault="00022DEE" w:rsidP="00FC2881">
      <w:pPr>
        <w:spacing w:after="0"/>
      </w:pPr>
      <w:r>
        <w:continuationSeparator/>
      </w:r>
    </w:p>
    <w:p w14:paraId="53459792" w14:textId="77777777" w:rsidR="00022DEE" w:rsidRDefault="00022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ra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E482" w14:textId="77777777" w:rsidR="000A6BF7" w:rsidRDefault="006D45FD" w:rsidP="00FC2881">
    <w:pPr>
      <w:pStyle w:val="AHPRAfootnote"/>
      <w:framePr w:wrap="around" w:vAnchor="text" w:hAnchor="margin" w:xAlign="right" w:y="1"/>
    </w:pPr>
    <w:r>
      <w:fldChar w:fldCharType="begin"/>
    </w:r>
    <w:r w:rsidR="000A6BF7">
      <w:instrText xml:space="preserve">PAGE  </w:instrText>
    </w:r>
    <w:r>
      <w:fldChar w:fldCharType="end"/>
    </w:r>
  </w:p>
  <w:p w14:paraId="64F34264" w14:textId="77777777" w:rsidR="000A6BF7" w:rsidRDefault="000A6BF7" w:rsidP="00FC2881">
    <w:pPr>
      <w:pStyle w:val="AHPRAfootnote"/>
      <w:ind w:right="360"/>
    </w:pPr>
  </w:p>
  <w:p w14:paraId="6346D735" w14:textId="77777777" w:rsidR="000A6BF7" w:rsidRDefault="000A6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9F5C" w14:textId="77777777" w:rsidR="00154F2A" w:rsidRPr="00154F2A" w:rsidRDefault="00154F2A" w:rsidP="0099652A">
    <w:pPr>
      <w:spacing w:after="0"/>
      <w:jc w:val="center"/>
      <w:rPr>
        <w:color w:val="5F6062"/>
        <w:sz w:val="14"/>
        <w:szCs w:val="14"/>
      </w:rPr>
    </w:pPr>
  </w:p>
  <w:p w14:paraId="3CD4A37D" w14:textId="77777777" w:rsidR="000A6BF7" w:rsidRPr="000E7E28" w:rsidRDefault="00000000" w:rsidP="000E7E28">
    <w:pPr>
      <w:pStyle w:val="AHPRApagenumber"/>
    </w:pPr>
    <w:sdt>
      <w:sdtPr>
        <w:id w:val="16333165"/>
        <w:docPartObj>
          <w:docPartGallery w:val="Page Numbers (Top of Page)"/>
          <w:docPartUnique/>
        </w:docPartObj>
      </w:sdtPr>
      <w:sdtContent>
        <w:r w:rsidR="001506FE" w:rsidRPr="000E7E28">
          <w:t xml:space="preserve">Page </w:t>
        </w:r>
        <w:r w:rsidR="00CA32C2">
          <w:fldChar w:fldCharType="begin"/>
        </w:r>
        <w:r w:rsidR="00CA32C2">
          <w:instrText xml:space="preserve"> PAGE </w:instrText>
        </w:r>
        <w:r w:rsidR="00CA32C2">
          <w:fldChar w:fldCharType="separate"/>
        </w:r>
        <w:r w:rsidR="00670F48">
          <w:rPr>
            <w:noProof/>
          </w:rPr>
          <w:t>2</w:t>
        </w:r>
        <w:r w:rsidR="00CA32C2">
          <w:rPr>
            <w:noProof/>
          </w:rPr>
          <w:fldChar w:fldCharType="end"/>
        </w:r>
        <w:r w:rsidR="00E77E23" w:rsidRPr="000E7E28">
          <w:t xml:space="preserve"> of </w:t>
        </w:r>
        <w:r w:rsidR="00CA32C2">
          <w:fldChar w:fldCharType="begin"/>
        </w:r>
        <w:r w:rsidR="00CA32C2">
          <w:instrText xml:space="preserve"> NUMPAGES  </w:instrText>
        </w:r>
        <w:r w:rsidR="00CA32C2">
          <w:fldChar w:fldCharType="separate"/>
        </w:r>
        <w:r w:rsidR="00670F48">
          <w:rPr>
            <w:noProof/>
          </w:rPr>
          <w:t>2</w:t>
        </w:r>
        <w:r w:rsidR="00CA32C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4A55" w14:textId="77777777" w:rsidR="00022DEE" w:rsidRDefault="00022DEE" w:rsidP="000E7E28">
      <w:pPr>
        <w:spacing w:after="0"/>
      </w:pPr>
      <w:r>
        <w:separator/>
      </w:r>
    </w:p>
  </w:footnote>
  <w:footnote w:type="continuationSeparator" w:id="0">
    <w:p w14:paraId="2486CFDC" w14:textId="77777777" w:rsidR="00022DEE" w:rsidRDefault="00022DEE" w:rsidP="00FC2881">
      <w:pPr>
        <w:spacing w:after="0"/>
      </w:pPr>
      <w:r>
        <w:continuationSeparator/>
      </w:r>
    </w:p>
    <w:p w14:paraId="62E0F6D3" w14:textId="77777777" w:rsidR="00022DEE" w:rsidRDefault="00022DEE"/>
  </w:footnote>
  <w:footnote w:type="continuationNotice" w:id="1">
    <w:p w14:paraId="56595151" w14:textId="77777777" w:rsidR="00022DEE" w:rsidRDefault="00022D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5214" w14:textId="4E648D9F" w:rsidR="000A6BF7" w:rsidRPr="00315933" w:rsidRDefault="000A6BF7" w:rsidP="00D638E0">
    <w:pPr>
      <w:ind w:left="-1134" w:right="-567"/>
      <w:jc w:val="right"/>
    </w:pPr>
  </w:p>
  <w:p w14:paraId="650EA2CE" w14:textId="77777777" w:rsidR="000A6BF7" w:rsidRDefault="000A6B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DAF8" w14:textId="08A1E061" w:rsidR="003C7C9E" w:rsidRDefault="003C7C9E" w:rsidP="00E12FF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B23"/>
    <w:multiLevelType w:val="hybridMultilevel"/>
    <w:tmpl w:val="980ECF98"/>
    <w:lvl w:ilvl="0" w:tplc="816696CA">
      <w:start w:val="1"/>
      <w:numFmt w:val="decimal"/>
      <w:pStyle w:val="AHPRAbodyContextparanumbered"/>
      <w:lvlText w:val="%1."/>
      <w:lvlJc w:val="left"/>
      <w:pPr>
        <w:ind w:left="360" w:hanging="360"/>
      </w:pPr>
      <w:rPr>
        <w:rFonts w:ascii="Arial" w:hAnsi="Arial" w:hint="default"/>
        <w:b w:val="0"/>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B3674"/>
    <w:multiLevelType w:val="multilevel"/>
    <w:tmpl w:val="A0347692"/>
    <w:styleLink w:val="AHPRABullets"/>
    <w:lvl w:ilvl="0">
      <w:start w:val="1"/>
      <w:numFmt w:val="bullet"/>
      <w:pStyle w:val="BodyTextBullets"/>
      <w:lvlText w:val=""/>
      <w:lvlJc w:val="left"/>
      <w:pPr>
        <w:ind w:left="369" w:hanging="369"/>
      </w:pPr>
      <w:rPr>
        <w:rFonts w:ascii="Symbol" w:hAnsi="Symbol" w:hint="default"/>
      </w:rPr>
    </w:lvl>
    <w:lvl w:ilvl="1">
      <w:start w:val="1"/>
      <w:numFmt w:val="bullet"/>
      <w:pStyle w:val="BodyTextBullets2"/>
      <w:lvlText w:val=""/>
      <w:lvlJc w:val="left"/>
      <w:pPr>
        <w:ind w:left="737" w:hanging="368"/>
      </w:pPr>
      <w:rPr>
        <w:rFonts w:ascii="Symbol" w:hAnsi="Symbol" w:hint="default"/>
        <w:color w:val="auto"/>
      </w:rPr>
    </w:lvl>
    <w:lvl w:ilvl="2">
      <w:start w:val="1"/>
      <w:numFmt w:val="bullet"/>
      <w:pStyle w:val="BodyTextBullets3"/>
      <w:lvlText w:val="o"/>
      <w:lvlJc w:val="left"/>
      <w:pPr>
        <w:ind w:left="1106" w:hanging="369"/>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F77C7"/>
    <w:multiLevelType w:val="hybridMultilevel"/>
    <w:tmpl w:val="BA4ED52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BB17D6"/>
    <w:multiLevelType w:val="multilevel"/>
    <w:tmpl w:val="C4183F12"/>
    <w:numStyleLink w:val="AHPRANumberedlist"/>
  </w:abstractNum>
  <w:abstractNum w:abstractNumId="4"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5" w15:restartNumberingAfterBreak="0">
    <w:nsid w:val="0C037DB3"/>
    <w:multiLevelType w:val="multilevel"/>
    <w:tmpl w:val="BE20683A"/>
    <w:numStyleLink w:val="AHPRANumberedheadinglist"/>
  </w:abstractNum>
  <w:abstractNum w:abstractNumId="6"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7" w15:restartNumberingAfterBreak="0">
    <w:nsid w:val="0C886C82"/>
    <w:multiLevelType w:val="hybridMultilevel"/>
    <w:tmpl w:val="DBAA993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2D19FF"/>
    <w:multiLevelType w:val="multilevel"/>
    <w:tmpl w:val="BE20683A"/>
    <w:numStyleLink w:val="AHPRANumberedheadinglist"/>
  </w:abstractNum>
  <w:abstractNum w:abstractNumId="9" w15:restartNumberingAfterBreak="0">
    <w:nsid w:val="1D296F27"/>
    <w:multiLevelType w:val="multilevel"/>
    <w:tmpl w:val="2D986C52"/>
    <w:lvl w:ilvl="0">
      <w:start w:val="1"/>
      <w:numFmt w:val="decimal"/>
      <w:pStyle w:val="ListNumber"/>
      <w:lvlText w:val="%1."/>
      <w:lvlJc w:val="left"/>
      <w:pPr>
        <w:ind w:left="369" w:hanging="369"/>
      </w:pPr>
      <w:rPr>
        <w:rFonts w:ascii="Arial" w:hAnsi="Arial" w:hint="default"/>
        <w:b w:val="0"/>
        <w:i w:val="0"/>
        <w:color w:val="auto"/>
        <w:sz w:val="20"/>
      </w:rPr>
    </w:lvl>
    <w:lvl w:ilvl="1">
      <w:start w:val="1"/>
      <w:numFmt w:val="decimal"/>
      <w:pStyle w:val="ListNumber2"/>
      <w:lvlText w:val="%1.%2"/>
      <w:lvlJc w:val="left"/>
      <w:pPr>
        <w:ind w:left="1021" w:hanging="652"/>
      </w:pPr>
      <w:rPr>
        <w:rFonts w:ascii="Arial" w:hAnsi="Arial" w:hint="default"/>
        <w:b w:val="0"/>
        <w:i w:val="0"/>
        <w:color w:val="auto"/>
        <w:sz w:val="20"/>
      </w:rPr>
    </w:lvl>
    <w:lvl w:ilvl="2">
      <w:start w:val="1"/>
      <w:numFmt w:val="decimal"/>
      <w:pStyle w:val="ListNumber3"/>
      <w:lvlText w:val="%1.%2.%3"/>
      <w:lvlJc w:val="left"/>
      <w:pPr>
        <w:ind w:left="1871" w:hanging="850"/>
      </w:pPr>
      <w:rPr>
        <w:rFonts w:ascii="Arial" w:hAnsi="Arial" w:hint="default"/>
        <w:b w:val="0"/>
        <w:i w:val="0"/>
        <w:color w:val="auto"/>
        <w:sz w:val="20"/>
      </w:rPr>
    </w:lvl>
    <w:lvl w:ilvl="3">
      <w:start w:val="1"/>
      <w:numFmt w:val="lowerLetter"/>
      <w:lvlText w:val="(%4)"/>
      <w:lvlJc w:val="left"/>
      <w:pPr>
        <w:ind w:left="2268" w:hanging="397"/>
      </w:pPr>
      <w:rPr>
        <w:rFonts w:hint="default"/>
      </w:rPr>
    </w:lvl>
    <w:lvl w:ilvl="4">
      <w:start w:val="1"/>
      <w:numFmt w:val="lowerRoman"/>
      <w:lvlText w:val="(%5)"/>
      <w:lvlJc w:val="left"/>
      <w:pPr>
        <w:ind w:left="2665" w:hanging="397"/>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10" w15:restartNumberingAfterBreak="0">
    <w:nsid w:val="1E056B50"/>
    <w:multiLevelType w:val="multilevel"/>
    <w:tmpl w:val="50F890D6"/>
    <w:lvl w:ilvl="0">
      <w:start w:val="1"/>
      <w:numFmt w:val="decimal"/>
      <w:pStyle w:val="AHPRAitemheading"/>
      <w:lvlText w:val="Item %1 "/>
      <w:lvlJc w:val="left"/>
      <w:pPr>
        <w:tabs>
          <w:tab w:val="num" w:pos="1134"/>
        </w:tabs>
        <w:ind w:left="1134" w:hanging="1134"/>
      </w:pPr>
      <w:rPr>
        <w:rFonts w:ascii="Arial" w:hAnsi="Arial" w:hint="default"/>
        <w:sz w:val="20"/>
      </w:rPr>
    </w:lvl>
    <w:lvl w:ilvl="1">
      <w:start w:val="1"/>
      <w:numFmt w:val="decimal"/>
      <w:pStyle w:val="AHPRAitemlevel2"/>
      <w:isLgl/>
      <w:lvlText w:val="Item %1.%2"/>
      <w:lvlJc w:val="left"/>
      <w:pPr>
        <w:tabs>
          <w:tab w:val="num" w:pos="1134"/>
        </w:tabs>
        <w:ind w:left="1134" w:hanging="1134"/>
      </w:pPr>
      <w:rPr>
        <w:rFonts w:hint="default"/>
        <w:b/>
        <w:color w:val="auto"/>
      </w:rPr>
    </w:lvl>
    <w:lvl w:ilvl="2">
      <w:start w:val="1"/>
      <w:numFmt w:val="decimal"/>
      <w:pStyle w:val="AHPRAitemlevel3"/>
      <w:isLgl/>
      <w:lvlText w:val="Item %1.%2.%3"/>
      <w:lvlJc w:val="left"/>
      <w:pPr>
        <w:tabs>
          <w:tab w:val="num" w:pos="1134"/>
        </w:tabs>
        <w:ind w:left="1134" w:hanging="1134"/>
      </w:pPr>
      <w:rPr>
        <w:rFonts w:ascii="Arial" w:hAnsi="Arial" w:hint="default"/>
        <w:b/>
        <w:i w:val="0"/>
        <w:sz w:val="20"/>
      </w:rPr>
    </w:lvl>
    <w:lvl w:ilvl="3">
      <w:start w:val="1"/>
      <w:numFmt w:val="decimal"/>
      <w:isLgl/>
      <w:lvlText w:val="Item %1.%2.%3.%4"/>
      <w:lvlJc w:val="left"/>
      <w:pPr>
        <w:tabs>
          <w:tab w:val="num" w:pos="1134"/>
        </w:tabs>
        <w:ind w:left="1134" w:hanging="1134"/>
      </w:pPr>
      <w:rPr>
        <w:rFonts w:hint="default"/>
      </w:rPr>
    </w:lvl>
    <w:lvl w:ilvl="4">
      <w:start w:val="1"/>
      <w:numFmt w:val="decimal"/>
      <w:isLgl/>
      <w:lvlText w:val="Item %1.%2.%3.%4.%5"/>
      <w:lvlJc w:val="left"/>
      <w:pPr>
        <w:tabs>
          <w:tab w:val="num" w:pos="1134"/>
        </w:tabs>
        <w:ind w:left="1134" w:hanging="1134"/>
      </w:pPr>
      <w:rPr>
        <w:rFonts w:hint="default"/>
      </w:rPr>
    </w:lvl>
    <w:lvl w:ilvl="5">
      <w:start w:val="1"/>
      <w:numFmt w:val="decimal"/>
      <w:isLgl/>
      <w:lvlText w:val="Item %1.%2.%3.%4.%5.%6"/>
      <w:lvlJc w:val="left"/>
      <w:pPr>
        <w:tabs>
          <w:tab w:val="num" w:pos="1134"/>
        </w:tabs>
        <w:ind w:left="1134" w:hanging="1134"/>
      </w:pPr>
      <w:rPr>
        <w:rFonts w:hint="default"/>
      </w:rPr>
    </w:lvl>
    <w:lvl w:ilvl="6">
      <w:start w:val="1"/>
      <w:numFmt w:val="decimal"/>
      <w:isLgl/>
      <w:lvlText w:val="Item %1.%2.%3.%4.%5.%6.%7"/>
      <w:lvlJc w:val="left"/>
      <w:pPr>
        <w:tabs>
          <w:tab w:val="num" w:pos="851"/>
        </w:tabs>
        <w:ind w:left="1474" w:hanging="1474"/>
      </w:pPr>
      <w:rPr>
        <w:rFonts w:hint="default"/>
      </w:rPr>
    </w:lvl>
    <w:lvl w:ilvl="7">
      <w:start w:val="1"/>
      <w:numFmt w:val="decimal"/>
      <w:isLgl/>
      <w:lvlText w:val="Item %1.%2.%3.%4.%5.%6.%7.%8"/>
      <w:lvlJc w:val="left"/>
      <w:pPr>
        <w:tabs>
          <w:tab w:val="num" w:pos="851"/>
        </w:tabs>
        <w:ind w:left="1474" w:hanging="1474"/>
      </w:pPr>
      <w:rPr>
        <w:rFonts w:hint="default"/>
      </w:rPr>
    </w:lvl>
    <w:lvl w:ilvl="8">
      <w:start w:val="1"/>
      <w:numFmt w:val="decimal"/>
      <w:isLgl/>
      <w:lvlText w:val="Item %1.%4.%5.%6.%7.%8.%9"/>
      <w:lvlJc w:val="left"/>
      <w:pPr>
        <w:tabs>
          <w:tab w:val="num" w:pos="851"/>
        </w:tabs>
        <w:ind w:left="1474" w:hanging="1474"/>
      </w:pPr>
      <w:rPr>
        <w:rFonts w:hint="default"/>
      </w:rPr>
    </w:lvl>
  </w:abstractNum>
  <w:abstractNum w:abstractNumId="11" w15:restartNumberingAfterBreak="0">
    <w:nsid w:val="1FCB5BE0"/>
    <w:multiLevelType w:val="multilevel"/>
    <w:tmpl w:val="957E7A6A"/>
    <w:styleLink w:val="AHPRAListBullets"/>
    <w:lvl w:ilvl="0">
      <w:start w:val="1"/>
      <w:numFmt w:val="bullet"/>
      <w:pStyle w:val="ListBullet1a"/>
      <w:lvlText w:val=""/>
      <w:lvlJc w:val="left"/>
      <w:pPr>
        <w:ind w:left="737" w:hanging="368"/>
      </w:pPr>
      <w:rPr>
        <w:rFonts w:ascii="Symbol" w:hAnsi="Symbol" w:hint="default"/>
      </w:rPr>
    </w:lvl>
    <w:lvl w:ilvl="1">
      <w:start w:val="1"/>
      <w:numFmt w:val="bullet"/>
      <w:lvlText w:val=""/>
      <w:lvlJc w:val="left"/>
      <w:pPr>
        <w:ind w:left="1389" w:hanging="368"/>
      </w:pPr>
      <w:rPr>
        <w:rFonts w:ascii="Symbol" w:hAnsi="Symbol" w:hint="default"/>
        <w:color w:val="auto"/>
      </w:rPr>
    </w:lvl>
    <w:lvl w:ilvl="2">
      <w:start w:val="1"/>
      <w:numFmt w:val="bullet"/>
      <w:lvlText w:val=""/>
      <w:lvlJc w:val="left"/>
      <w:pPr>
        <w:ind w:left="2240" w:hanging="369"/>
      </w:pPr>
      <w:rPr>
        <w:rFonts w:ascii="Symbol" w:hAnsi="Symbol" w:hint="default"/>
      </w:rPr>
    </w:lvl>
    <w:lvl w:ilvl="3">
      <w:start w:val="1"/>
      <w:numFmt w:val="bullet"/>
      <w:pStyle w:val="ListBullet1b"/>
      <w:lvlText w:val=""/>
      <w:lvlJc w:val="left"/>
      <w:pPr>
        <w:ind w:left="1021" w:hanging="284"/>
      </w:pPr>
      <w:rPr>
        <w:rFonts w:ascii="Symbol" w:hAnsi="Symbol" w:hint="default"/>
        <w:color w:val="auto"/>
      </w:rPr>
    </w:lvl>
    <w:lvl w:ilvl="4">
      <w:start w:val="1"/>
      <w:numFmt w:val="bullet"/>
      <w:lvlText w:val=""/>
      <w:lvlJc w:val="left"/>
      <w:pPr>
        <w:ind w:left="1673" w:hanging="284"/>
      </w:pPr>
      <w:rPr>
        <w:rFonts w:ascii="Symbol" w:hAnsi="Symbol" w:hint="default"/>
        <w:color w:val="auto"/>
      </w:rPr>
    </w:lvl>
    <w:lvl w:ilvl="5">
      <w:start w:val="1"/>
      <w:numFmt w:val="bullet"/>
      <w:lvlText w:val=""/>
      <w:lvlJc w:val="left"/>
      <w:pPr>
        <w:ind w:left="2126" w:hanging="368"/>
      </w:pPr>
      <w:rPr>
        <w:rFonts w:ascii="Symbol" w:hAnsi="Symbol" w:hint="default"/>
        <w:color w:val="auto"/>
      </w:rPr>
    </w:lvl>
    <w:lvl w:ilvl="6">
      <w:start w:val="1"/>
      <w:numFmt w:val="bullet"/>
      <w:pStyle w:val="ListBullet1c"/>
      <w:lvlText w:val="o"/>
      <w:lvlJc w:val="left"/>
      <w:pPr>
        <w:ind w:left="1389" w:hanging="368"/>
      </w:pPr>
      <w:rPr>
        <w:rFonts w:ascii="Courier New" w:hAnsi="Courier New" w:hint="default"/>
      </w:rPr>
    </w:lvl>
    <w:lvl w:ilvl="7">
      <w:start w:val="1"/>
      <w:numFmt w:val="bullet"/>
      <w:lvlText w:val="o"/>
      <w:lvlJc w:val="left"/>
      <w:pPr>
        <w:ind w:left="2041" w:hanging="368"/>
      </w:pPr>
      <w:rPr>
        <w:rFonts w:ascii="Courier New" w:hAnsi="Courier New" w:hint="default"/>
        <w:color w:val="auto"/>
      </w:rPr>
    </w:lvl>
    <w:lvl w:ilvl="8">
      <w:start w:val="1"/>
      <w:numFmt w:val="bullet"/>
      <w:lvlText w:val="o"/>
      <w:lvlJc w:val="left"/>
      <w:pPr>
        <w:ind w:left="2977" w:hanging="369"/>
      </w:pPr>
      <w:rPr>
        <w:rFonts w:ascii="Courier New" w:hAnsi="Courier New" w:hint="default"/>
      </w:rPr>
    </w:lvl>
  </w:abstractNum>
  <w:abstractNum w:abstractNumId="12" w15:restartNumberingAfterBreak="0">
    <w:nsid w:val="2822578D"/>
    <w:multiLevelType w:val="multilevel"/>
    <w:tmpl w:val="BE20683A"/>
    <w:numStyleLink w:val="AHPRANumberedheadinglist"/>
  </w:abstractNum>
  <w:abstractNum w:abstractNumId="13"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A4F92"/>
    <w:multiLevelType w:val="hybridMultilevel"/>
    <w:tmpl w:val="8E909D08"/>
    <w:lvl w:ilvl="0" w:tplc="1102C19E">
      <w:start w:val="1"/>
      <w:numFmt w:val="bullet"/>
      <w:lvlText w:val="-"/>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4E04433A"/>
    <w:multiLevelType w:val="multilevel"/>
    <w:tmpl w:val="C4183F12"/>
    <w:numStyleLink w:val="AHPRANumberedlist"/>
  </w:abstractNum>
  <w:abstractNum w:abstractNumId="17" w15:restartNumberingAfterBreak="0">
    <w:nsid w:val="53151D9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F01B38"/>
    <w:multiLevelType w:val="hybridMultilevel"/>
    <w:tmpl w:val="FB544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731D49"/>
    <w:multiLevelType w:val="hybridMultilevel"/>
    <w:tmpl w:val="5AA4E3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8E562C"/>
    <w:multiLevelType w:val="multilevel"/>
    <w:tmpl w:val="4C2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E154B0"/>
    <w:multiLevelType w:val="multilevel"/>
    <w:tmpl w:val="C4183F12"/>
    <w:numStyleLink w:val="AHPRANumberedlist"/>
  </w:abstractNum>
  <w:abstractNum w:abstractNumId="23" w15:restartNumberingAfterBreak="0">
    <w:nsid w:val="777764EF"/>
    <w:multiLevelType w:val="hybridMultilevel"/>
    <w:tmpl w:val="FFAE5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31660"/>
    <w:multiLevelType w:val="multilevel"/>
    <w:tmpl w:val="C4183F12"/>
    <w:numStyleLink w:val="AHPRANumberedlist"/>
  </w:abstractNum>
  <w:num w:numId="1" w16cid:durableId="1314066836">
    <w:abstractNumId w:val="20"/>
  </w:num>
  <w:num w:numId="2" w16cid:durableId="124474402">
    <w:abstractNumId w:val="14"/>
  </w:num>
  <w:num w:numId="3" w16cid:durableId="598834308">
    <w:abstractNumId w:val="4"/>
  </w:num>
  <w:num w:numId="4" w16cid:durableId="1145202416">
    <w:abstractNumId w:val="6"/>
  </w:num>
  <w:num w:numId="5" w16cid:durableId="1554923103">
    <w:abstractNumId w:val="8"/>
  </w:num>
  <w:num w:numId="6" w16cid:durableId="1373190414">
    <w:abstractNumId w:val="12"/>
  </w:num>
  <w:num w:numId="7" w16cid:durableId="1015496217">
    <w:abstractNumId w:val="3"/>
  </w:num>
  <w:num w:numId="8" w16cid:durableId="812336506">
    <w:abstractNumId w:val="13"/>
  </w:num>
  <w:num w:numId="9" w16cid:durableId="440103381">
    <w:abstractNumId w:val="24"/>
  </w:num>
  <w:num w:numId="10" w16cid:durableId="1745296253">
    <w:abstractNumId w:val="16"/>
  </w:num>
  <w:num w:numId="11" w16cid:durableId="1071731221">
    <w:abstractNumId w:val="5"/>
  </w:num>
  <w:num w:numId="12" w16cid:durableId="290482922">
    <w:abstractNumId w:val="22"/>
  </w:num>
  <w:num w:numId="13" w16cid:durableId="238560021">
    <w:abstractNumId w:val="25"/>
  </w:num>
  <w:num w:numId="14" w16cid:durableId="1410351764">
    <w:abstractNumId w:val="1"/>
  </w:num>
  <w:num w:numId="15" w16cid:durableId="964194630">
    <w:abstractNumId w:val="9"/>
  </w:num>
  <w:num w:numId="16" w16cid:durableId="1575892352">
    <w:abstractNumId w:val="11"/>
  </w:num>
  <w:num w:numId="17" w16cid:durableId="1116871861">
    <w:abstractNumId w:val="11"/>
    <w:lvlOverride w:ilvl="0">
      <w:lvl w:ilvl="0">
        <w:start w:val="1"/>
        <w:numFmt w:val="bullet"/>
        <w:pStyle w:val="ListBullet1a"/>
        <w:lvlText w:val=""/>
        <w:lvlJc w:val="left"/>
        <w:pPr>
          <w:ind w:left="737" w:hanging="368"/>
        </w:pPr>
        <w:rPr>
          <w:rFonts w:ascii="Symbol" w:hAnsi="Symbol" w:hint="default"/>
        </w:rPr>
      </w:lvl>
    </w:lvlOverride>
    <w:lvlOverride w:ilvl="1">
      <w:lvl w:ilvl="1">
        <w:start w:val="1"/>
        <w:numFmt w:val="bullet"/>
        <w:lvlText w:val=""/>
        <w:lvlJc w:val="left"/>
        <w:pPr>
          <w:ind w:left="1389" w:hanging="368"/>
        </w:pPr>
        <w:rPr>
          <w:rFonts w:ascii="Symbol" w:hAnsi="Symbol" w:hint="default"/>
          <w:color w:val="auto"/>
        </w:rPr>
      </w:lvl>
    </w:lvlOverride>
    <w:lvlOverride w:ilvl="2">
      <w:lvl w:ilvl="2">
        <w:start w:val="1"/>
        <w:numFmt w:val="bullet"/>
        <w:lvlText w:val=""/>
        <w:lvlJc w:val="left"/>
        <w:pPr>
          <w:ind w:left="2240" w:hanging="369"/>
        </w:pPr>
        <w:rPr>
          <w:rFonts w:ascii="Symbol" w:hAnsi="Symbol" w:hint="default"/>
        </w:rPr>
      </w:lvl>
    </w:lvlOverride>
    <w:lvlOverride w:ilvl="3">
      <w:lvl w:ilvl="3">
        <w:start w:val="1"/>
        <w:numFmt w:val="bullet"/>
        <w:pStyle w:val="ListBullet1b"/>
        <w:lvlText w:val=""/>
        <w:lvlJc w:val="left"/>
        <w:pPr>
          <w:ind w:left="1106" w:hanging="369"/>
        </w:pPr>
        <w:rPr>
          <w:rFonts w:ascii="Symbol" w:hAnsi="Symbol" w:hint="default"/>
          <w:color w:val="auto"/>
        </w:rPr>
      </w:lvl>
    </w:lvlOverride>
    <w:lvlOverride w:ilvl="4">
      <w:lvl w:ilvl="4">
        <w:start w:val="1"/>
        <w:numFmt w:val="bullet"/>
        <w:lvlText w:val=""/>
        <w:lvlJc w:val="left"/>
        <w:pPr>
          <w:ind w:left="1758" w:hanging="369"/>
        </w:pPr>
        <w:rPr>
          <w:rFonts w:ascii="Symbol" w:hAnsi="Symbol" w:hint="default"/>
          <w:color w:val="auto"/>
        </w:rPr>
      </w:lvl>
    </w:lvlOverride>
    <w:lvlOverride w:ilvl="5">
      <w:lvl w:ilvl="5">
        <w:start w:val="1"/>
        <w:numFmt w:val="bullet"/>
        <w:lvlText w:val=""/>
        <w:lvlJc w:val="left"/>
        <w:pPr>
          <w:tabs>
            <w:tab w:val="num" w:pos="2240"/>
          </w:tabs>
          <w:ind w:left="2608" w:hanging="368"/>
        </w:pPr>
        <w:rPr>
          <w:rFonts w:ascii="Symbol" w:hAnsi="Symbol" w:hint="default"/>
          <w:color w:val="auto"/>
        </w:rPr>
      </w:lvl>
    </w:lvlOverride>
    <w:lvlOverride w:ilvl="6">
      <w:lvl w:ilvl="6">
        <w:start w:val="1"/>
        <w:numFmt w:val="bullet"/>
        <w:pStyle w:val="ListBullet1c"/>
        <w:lvlText w:val="o"/>
        <w:lvlJc w:val="left"/>
        <w:pPr>
          <w:ind w:left="1474" w:hanging="368"/>
        </w:pPr>
        <w:rPr>
          <w:rFonts w:ascii="Courier New" w:hAnsi="Courier New" w:hint="default"/>
        </w:rPr>
      </w:lvl>
    </w:lvlOverride>
    <w:lvlOverride w:ilvl="7">
      <w:lvl w:ilvl="7">
        <w:start w:val="1"/>
        <w:numFmt w:val="bullet"/>
        <w:lvlText w:val="o"/>
        <w:lvlJc w:val="left"/>
        <w:pPr>
          <w:ind w:left="2126" w:hanging="368"/>
        </w:pPr>
        <w:rPr>
          <w:rFonts w:ascii="Courier New" w:hAnsi="Courier New" w:hint="default"/>
          <w:color w:val="auto"/>
        </w:rPr>
      </w:lvl>
    </w:lvlOverride>
    <w:lvlOverride w:ilvl="8">
      <w:lvl w:ilvl="8">
        <w:start w:val="1"/>
        <w:numFmt w:val="bullet"/>
        <w:lvlText w:val="o"/>
        <w:lvlJc w:val="left"/>
        <w:pPr>
          <w:ind w:left="2977" w:hanging="369"/>
        </w:pPr>
        <w:rPr>
          <w:rFonts w:ascii="Courier New" w:hAnsi="Courier New" w:hint="default"/>
        </w:rPr>
      </w:lvl>
    </w:lvlOverride>
  </w:num>
  <w:num w:numId="18" w16cid:durableId="1043793863">
    <w:abstractNumId w:val="15"/>
  </w:num>
  <w:num w:numId="19" w16cid:durableId="2094356419">
    <w:abstractNumId w:val="0"/>
  </w:num>
  <w:num w:numId="20" w16cid:durableId="2017683497">
    <w:abstractNumId w:val="10"/>
  </w:num>
  <w:num w:numId="21" w16cid:durableId="376470936">
    <w:abstractNumId w:val="23"/>
  </w:num>
  <w:num w:numId="22" w16cid:durableId="601232027">
    <w:abstractNumId w:val="21"/>
  </w:num>
  <w:num w:numId="23" w16cid:durableId="1782990347">
    <w:abstractNumId w:val="18"/>
  </w:num>
  <w:num w:numId="24" w16cid:durableId="2030988637">
    <w:abstractNumId w:val="19"/>
  </w:num>
  <w:num w:numId="25" w16cid:durableId="446197676">
    <w:abstractNumId w:val="7"/>
  </w:num>
  <w:num w:numId="26" w16cid:durableId="2084135842">
    <w:abstractNumId w:val="2"/>
  </w:num>
  <w:num w:numId="27" w16cid:durableId="122155729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08"/>
    <w:rsid w:val="00000033"/>
    <w:rsid w:val="00002CD3"/>
    <w:rsid w:val="00004F93"/>
    <w:rsid w:val="0000659E"/>
    <w:rsid w:val="00006922"/>
    <w:rsid w:val="0001365E"/>
    <w:rsid w:val="00015227"/>
    <w:rsid w:val="0001685A"/>
    <w:rsid w:val="00022DEE"/>
    <w:rsid w:val="000334D7"/>
    <w:rsid w:val="00043E55"/>
    <w:rsid w:val="00055D9E"/>
    <w:rsid w:val="00071439"/>
    <w:rsid w:val="00080BEE"/>
    <w:rsid w:val="0008594D"/>
    <w:rsid w:val="00093067"/>
    <w:rsid w:val="000945FB"/>
    <w:rsid w:val="000A6BF7"/>
    <w:rsid w:val="000C7609"/>
    <w:rsid w:val="000D34CA"/>
    <w:rsid w:val="000D6579"/>
    <w:rsid w:val="000E686E"/>
    <w:rsid w:val="000E7E28"/>
    <w:rsid w:val="000F5D90"/>
    <w:rsid w:val="0010139F"/>
    <w:rsid w:val="00107177"/>
    <w:rsid w:val="00126A8D"/>
    <w:rsid w:val="00127EF5"/>
    <w:rsid w:val="001358A5"/>
    <w:rsid w:val="00136555"/>
    <w:rsid w:val="00144DEF"/>
    <w:rsid w:val="001506FE"/>
    <w:rsid w:val="00154F2A"/>
    <w:rsid w:val="0018046C"/>
    <w:rsid w:val="00196F14"/>
    <w:rsid w:val="001C425C"/>
    <w:rsid w:val="001E1E31"/>
    <w:rsid w:val="001E2849"/>
    <w:rsid w:val="001E4A94"/>
    <w:rsid w:val="001E5621"/>
    <w:rsid w:val="001F09D3"/>
    <w:rsid w:val="002121E4"/>
    <w:rsid w:val="00220A3B"/>
    <w:rsid w:val="00224708"/>
    <w:rsid w:val="00242D08"/>
    <w:rsid w:val="0024300C"/>
    <w:rsid w:val="0024494A"/>
    <w:rsid w:val="00245593"/>
    <w:rsid w:val="0026585C"/>
    <w:rsid w:val="00265CE4"/>
    <w:rsid w:val="0027469A"/>
    <w:rsid w:val="0028013F"/>
    <w:rsid w:val="00292CDD"/>
    <w:rsid w:val="00295B44"/>
    <w:rsid w:val="002B2D48"/>
    <w:rsid w:val="002C08FB"/>
    <w:rsid w:val="002C34EA"/>
    <w:rsid w:val="002C6E75"/>
    <w:rsid w:val="002D1336"/>
    <w:rsid w:val="002E4E7E"/>
    <w:rsid w:val="00301F9A"/>
    <w:rsid w:val="00303BE1"/>
    <w:rsid w:val="00305AFC"/>
    <w:rsid w:val="00311FC7"/>
    <w:rsid w:val="00314295"/>
    <w:rsid w:val="00322BA9"/>
    <w:rsid w:val="00323E6D"/>
    <w:rsid w:val="00334097"/>
    <w:rsid w:val="003354E4"/>
    <w:rsid w:val="0035446A"/>
    <w:rsid w:val="003546FC"/>
    <w:rsid w:val="00370958"/>
    <w:rsid w:val="0037740E"/>
    <w:rsid w:val="00387B67"/>
    <w:rsid w:val="00390550"/>
    <w:rsid w:val="00393516"/>
    <w:rsid w:val="003C7C9E"/>
    <w:rsid w:val="003D6DBD"/>
    <w:rsid w:val="003E00B5"/>
    <w:rsid w:val="003E3268"/>
    <w:rsid w:val="003F2F06"/>
    <w:rsid w:val="003F3617"/>
    <w:rsid w:val="00405C0A"/>
    <w:rsid w:val="00414F2C"/>
    <w:rsid w:val="00422490"/>
    <w:rsid w:val="00423950"/>
    <w:rsid w:val="00436364"/>
    <w:rsid w:val="00443466"/>
    <w:rsid w:val="00450B34"/>
    <w:rsid w:val="004606A7"/>
    <w:rsid w:val="00461611"/>
    <w:rsid w:val="004713C7"/>
    <w:rsid w:val="00474743"/>
    <w:rsid w:val="00482201"/>
    <w:rsid w:val="004918AC"/>
    <w:rsid w:val="004A5E5D"/>
    <w:rsid w:val="004A740A"/>
    <w:rsid w:val="004B438E"/>
    <w:rsid w:val="004B747B"/>
    <w:rsid w:val="004C7716"/>
    <w:rsid w:val="004D3229"/>
    <w:rsid w:val="004D7537"/>
    <w:rsid w:val="004F5C05"/>
    <w:rsid w:val="00501B9E"/>
    <w:rsid w:val="00502C88"/>
    <w:rsid w:val="005061C2"/>
    <w:rsid w:val="00506A13"/>
    <w:rsid w:val="00507D43"/>
    <w:rsid w:val="00516EF2"/>
    <w:rsid w:val="0053749F"/>
    <w:rsid w:val="00537767"/>
    <w:rsid w:val="00546B56"/>
    <w:rsid w:val="00553A4C"/>
    <w:rsid w:val="00554335"/>
    <w:rsid w:val="005565CE"/>
    <w:rsid w:val="00556741"/>
    <w:rsid w:val="005622C7"/>
    <w:rsid w:val="005708AE"/>
    <w:rsid w:val="005727E5"/>
    <w:rsid w:val="0057583D"/>
    <w:rsid w:val="00585D21"/>
    <w:rsid w:val="00586D5F"/>
    <w:rsid w:val="005905E5"/>
    <w:rsid w:val="00591C86"/>
    <w:rsid w:val="00591D0E"/>
    <w:rsid w:val="00596100"/>
    <w:rsid w:val="005A0FA9"/>
    <w:rsid w:val="005B72F1"/>
    <w:rsid w:val="005C5932"/>
    <w:rsid w:val="005C6817"/>
    <w:rsid w:val="005F4818"/>
    <w:rsid w:val="00611055"/>
    <w:rsid w:val="00612AF4"/>
    <w:rsid w:val="00614E63"/>
    <w:rsid w:val="00616043"/>
    <w:rsid w:val="0062751D"/>
    <w:rsid w:val="006279FE"/>
    <w:rsid w:val="00640B2C"/>
    <w:rsid w:val="00644E8F"/>
    <w:rsid w:val="00646B61"/>
    <w:rsid w:val="00667CAD"/>
    <w:rsid w:val="00670F48"/>
    <w:rsid w:val="00672A98"/>
    <w:rsid w:val="00681D5E"/>
    <w:rsid w:val="00686E18"/>
    <w:rsid w:val="006A1F08"/>
    <w:rsid w:val="006B6F33"/>
    <w:rsid w:val="006C0257"/>
    <w:rsid w:val="006C0E29"/>
    <w:rsid w:val="006C108A"/>
    <w:rsid w:val="006D30FE"/>
    <w:rsid w:val="006D3757"/>
    <w:rsid w:val="006D45FD"/>
    <w:rsid w:val="006D6D35"/>
    <w:rsid w:val="006F3793"/>
    <w:rsid w:val="006F585B"/>
    <w:rsid w:val="006F68A9"/>
    <w:rsid w:val="006F7348"/>
    <w:rsid w:val="006F796D"/>
    <w:rsid w:val="0070155F"/>
    <w:rsid w:val="007059F2"/>
    <w:rsid w:val="00713C46"/>
    <w:rsid w:val="007220D6"/>
    <w:rsid w:val="007372A4"/>
    <w:rsid w:val="00741B04"/>
    <w:rsid w:val="0076115C"/>
    <w:rsid w:val="007664F3"/>
    <w:rsid w:val="0079197C"/>
    <w:rsid w:val="007A1325"/>
    <w:rsid w:val="007A35B9"/>
    <w:rsid w:val="007A733D"/>
    <w:rsid w:val="007B717D"/>
    <w:rsid w:val="007B77D6"/>
    <w:rsid w:val="007C0B6E"/>
    <w:rsid w:val="007D46D0"/>
    <w:rsid w:val="007D4836"/>
    <w:rsid w:val="007E2C84"/>
    <w:rsid w:val="007E3545"/>
    <w:rsid w:val="007E5D7B"/>
    <w:rsid w:val="007F0095"/>
    <w:rsid w:val="008338F7"/>
    <w:rsid w:val="00833C7B"/>
    <w:rsid w:val="0083432D"/>
    <w:rsid w:val="00836397"/>
    <w:rsid w:val="00845054"/>
    <w:rsid w:val="00852D1C"/>
    <w:rsid w:val="00856147"/>
    <w:rsid w:val="00860F40"/>
    <w:rsid w:val="008615C9"/>
    <w:rsid w:val="00861F66"/>
    <w:rsid w:val="00864020"/>
    <w:rsid w:val="0086579F"/>
    <w:rsid w:val="00875BE9"/>
    <w:rsid w:val="00880021"/>
    <w:rsid w:val="008979D5"/>
    <w:rsid w:val="008A4C3B"/>
    <w:rsid w:val="008B04D4"/>
    <w:rsid w:val="008B2AD7"/>
    <w:rsid w:val="008B557B"/>
    <w:rsid w:val="008D1A8D"/>
    <w:rsid w:val="008D6B7E"/>
    <w:rsid w:val="008D7845"/>
    <w:rsid w:val="008E0CCE"/>
    <w:rsid w:val="008F66A8"/>
    <w:rsid w:val="009031EA"/>
    <w:rsid w:val="00923B23"/>
    <w:rsid w:val="00926CCA"/>
    <w:rsid w:val="00935200"/>
    <w:rsid w:val="00937ED0"/>
    <w:rsid w:val="00944B15"/>
    <w:rsid w:val="00952797"/>
    <w:rsid w:val="00955BA1"/>
    <w:rsid w:val="009629B6"/>
    <w:rsid w:val="00964DE6"/>
    <w:rsid w:val="009777D3"/>
    <w:rsid w:val="00980417"/>
    <w:rsid w:val="009859E6"/>
    <w:rsid w:val="0099652A"/>
    <w:rsid w:val="009973B7"/>
    <w:rsid w:val="009A0A5D"/>
    <w:rsid w:val="009A0D80"/>
    <w:rsid w:val="009B61B0"/>
    <w:rsid w:val="009C6933"/>
    <w:rsid w:val="009E376C"/>
    <w:rsid w:val="009F235B"/>
    <w:rsid w:val="00A016DB"/>
    <w:rsid w:val="00A04C7A"/>
    <w:rsid w:val="00A058E5"/>
    <w:rsid w:val="00A10C1A"/>
    <w:rsid w:val="00A2072E"/>
    <w:rsid w:val="00A237BB"/>
    <w:rsid w:val="00A458ED"/>
    <w:rsid w:val="00A504B1"/>
    <w:rsid w:val="00A509AB"/>
    <w:rsid w:val="00A56E83"/>
    <w:rsid w:val="00A63379"/>
    <w:rsid w:val="00A66EFF"/>
    <w:rsid w:val="00A7510C"/>
    <w:rsid w:val="00A81D20"/>
    <w:rsid w:val="00A82078"/>
    <w:rsid w:val="00A838C8"/>
    <w:rsid w:val="00A91C42"/>
    <w:rsid w:val="00A9516B"/>
    <w:rsid w:val="00A9780A"/>
    <w:rsid w:val="00AA00AF"/>
    <w:rsid w:val="00AA2FC9"/>
    <w:rsid w:val="00AA7622"/>
    <w:rsid w:val="00AB283D"/>
    <w:rsid w:val="00AB69AC"/>
    <w:rsid w:val="00AD312E"/>
    <w:rsid w:val="00AE2066"/>
    <w:rsid w:val="00AE30FB"/>
    <w:rsid w:val="00AE3EAF"/>
    <w:rsid w:val="00AF7E50"/>
    <w:rsid w:val="00B024B0"/>
    <w:rsid w:val="00B02DCA"/>
    <w:rsid w:val="00B11F11"/>
    <w:rsid w:val="00B125C4"/>
    <w:rsid w:val="00B1443A"/>
    <w:rsid w:val="00B16EF1"/>
    <w:rsid w:val="00B21651"/>
    <w:rsid w:val="00B34EDA"/>
    <w:rsid w:val="00B51748"/>
    <w:rsid w:val="00B57198"/>
    <w:rsid w:val="00B60698"/>
    <w:rsid w:val="00B676E6"/>
    <w:rsid w:val="00B85023"/>
    <w:rsid w:val="00B91D80"/>
    <w:rsid w:val="00B91DCB"/>
    <w:rsid w:val="00BA2456"/>
    <w:rsid w:val="00BA469B"/>
    <w:rsid w:val="00BB4A5B"/>
    <w:rsid w:val="00BC6633"/>
    <w:rsid w:val="00BE2CD5"/>
    <w:rsid w:val="00BE449F"/>
    <w:rsid w:val="00BE51AC"/>
    <w:rsid w:val="00BF2534"/>
    <w:rsid w:val="00BF5607"/>
    <w:rsid w:val="00BF79DC"/>
    <w:rsid w:val="00C22114"/>
    <w:rsid w:val="00C35DE1"/>
    <w:rsid w:val="00C36BF4"/>
    <w:rsid w:val="00C3795C"/>
    <w:rsid w:val="00C37A04"/>
    <w:rsid w:val="00C41E38"/>
    <w:rsid w:val="00C43522"/>
    <w:rsid w:val="00C47FB3"/>
    <w:rsid w:val="00C524AA"/>
    <w:rsid w:val="00C538D3"/>
    <w:rsid w:val="00C54689"/>
    <w:rsid w:val="00C5481B"/>
    <w:rsid w:val="00C720B8"/>
    <w:rsid w:val="00C77637"/>
    <w:rsid w:val="00C81B3A"/>
    <w:rsid w:val="00C91238"/>
    <w:rsid w:val="00C9197B"/>
    <w:rsid w:val="00C955A9"/>
    <w:rsid w:val="00CA0E63"/>
    <w:rsid w:val="00CA32C2"/>
    <w:rsid w:val="00CB1AEA"/>
    <w:rsid w:val="00CB40D4"/>
    <w:rsid w:val="00CB4539"/>
    <w:rsid w:val="00CB6C08"/>
    <w:rsid w:val="00CC3B42"/>
    <w:rsid w:val="00CD0DCA"/>
    <w:rsid w:val="00CD4C22"/>
    <w:rsid w:val="00CE57D7"/>
    <w:rsid w:val="00D03D13"/>
    <w:rsid w:val="00D0499D"/>
    <w:rsid w:val="00D1152D"/>
    <w:rsid w:val="00D12F61"/>
    <w:rsid w:val="00D14C7F"/>
    <w:rsid w:val="00D201C6"/>
    <w:rsid w:val="00D22E60"/>
    <w:rsid w:val="00D31098"/>
    <w:rsid w:val="00D445C0"/>
    <w:rsid w:val="00D46582"/>
    <w:rsid w:val="00D501B9"/>
    <w:rsid w:val="00D638E0"/>
    <w:rsid w:val="00D716BA"/>
    <w:rsid w:val="00D727E7"/>
    <w:rsid w:val="00D80B0C"/>
    <w:rsid w:val="00D81E21"/>
    <w:rsid w:val="00D8219A"/>
    <w:rsid w:val="00D8404D"/>
    <w:rsid w:val="00D87C12"/>
    <w:rsid w:val="00D922F1"/>
    <w:rsid w:val="00DA1382"/>
    <w:rsid w:val="00DA6F35"/>
    <w:rsid w:val="00DC2952"/>
    <w:rsid w:val="00DC44A8"/>
    <w:rsid w:val="00DE3F24"/>
    <w:rsid w:val="00DF1AB7"/>
    <w:rsid w:val="00DF7ED8"/>
    <w:rsid w:val="00E07C02"/>
    <w:rsid w:val="00E10D1E"/>
    <w:rsid w:val="00E12B06"/>
    <w:rsid w:val="00E12FFD"/>
    <w:rsid w:val="00E15BF6"/>
    <w:rsid w:val="00E21690"/>
    <w:rsid w:val="00E44DAF"/>
    <w:rsid w:val="00E47521"/>
    <w:rsid w:val="00E54005"/>
    <w:rsid w:val="00E57AA8"/>
    <w:rsid w:val="00E700D5"/>
    <w:rsid w:val="00E71CB9"/>
    <w:rsid w:val="00E72D04"/>
    <w:rsid w:val="00E73698"/>
    <w:rsid w:val="00E77E23"/>
    <w:rsid w:val="00E801E8"/>
    <w:rsid w:val="00E8251C"/>
    <w:rsid w:val="00E82C93"/>
    <w:rsid w:val="00E844A0"/>
    <w:rsid w:val="00E85033"/>
    <w:rsid w:val="00E86D3B"/>
    <w:rsid w:val="00EB215E"/>
    <w:rsid w:val="00EB76E1"/>
    <w:rsid w:val="00EC7C0C"/>
    <w:rsid w:val="00ED0E8A"/>
    <w:rsid w:val="00EE2B37"/>
    <w:rsid w:val="00EE4590"/>
    <w:rsid w:val="00EE460C"/>
    <w:rsid w:val="00EF02D0"/>
    <w:rsid w:val="00EF3DDE"/>
    <w:rsid w:val="00F02208"/>
    <w:rsid w:val="00F06294"/>
    <w:rsid w:val="00F13ED2"/>
    <w:rsid w:val="00F27ACB"/>
    <w:rsid w:val="00F3616F"/>
    <w:rsid w:val="00F36968"/>
    <w:rsid w:val="00F6618F"/>
    <w:rsid w:val="00F70DD5"/>
    <w:rsid w:val="00F724F5"/>
    <w:rsid w:val="00F73165"/>
    <w:rsid w:val="00F87868"/>
    <w:rsid w:val="00F90BCE"/>
    <w:rsid w:val="00FA79E5"/>
    <w:rsid w:val="00FB543A"/>
    <w:rsid w:val="00FC2881"/>
    <w:rsid w:val="00FC655F"/>
    <w:rsid w:val="00FC7D21"/>
    <w:rsid w:val="00FD1EFE"/>
    <w:rsid w:val="00FD39AF"/>
    <w:rsid w:val="00FD7DC1"/>
    <w:rsid w:val="00FE0379"/>
    <w:rsid w:val="00FE2BA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A628FE"/>
  <w15:chartTrackingRefBased/>
  <w15:docId w15:val="{88758FA9-F324-4F82-8CA0-E471C47C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99" w:unhideWhenUsed="1"/>
    <w:lsdException w:name="Closing" w:semiHidden="1" w:uiPriority="99" w:unhideWhenUsed="1"/>
    <w:lsdException w:name="Signature" w:semiHidden="1" w:uiPriority="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99"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unhideWhenUsed/>
    <w:rsid w:val="00E21690"/>
    <w:pPr>
      <w:spacing w:after="200"/>
    </w:pPr>
    <w:rPr>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next w:val="AHPRAbody"/>
    <w:rsid w:val="00502C88"/>
    <w:pPr>
      <w:spacing w:before="200" w:after="0"/>
      <w:outlineLvl w:val="0"/>
    </w:pPr>
    <w:rPr>
      <w:rFonts w:cs="Arial"/>
      <w:color w:val="009CDE"/>
      <w:sz w:val="32"/>
      <w:szCs w:val="52"/>
    </w:rPr>
  </w:style>
  <w:style w:type="paragraph" w:customStyle="1" w:styleId="AHPRAbody">
    <w:name w:val="AHPRA body"/>
    <w:basedOn w:val="Normal"/>
    <w:link w:val="AHPRAbodyChar"/>
    <w:qFormat/>
    <w:rsid w:val="00E73698"/>
    <w:rPr>
      <w:rFonts w:cs="Arial"/>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link w:val="AHPRASubheadingChar"/>
    <w:qFormat/>
    <w:rsid w:val="00502C88"/>
    <w:pPr>
      <w:spacing w:before="200"/>
    </w:pPr>
    <w:rPr>
      <w:b/>
      <w:color w:val="0067B9"/>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502C88"/>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E21690"/>
    <w:pPr>
      <w:spacing w:before="120" w:after="120"/>
      <w:jc w:val="center"/>
    </w:pPr>
    <w:rPr>
      <w:b/>
      <w:color w:val="FFFFFF" w:themeColor="background1"/>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502C88"/>
    <w:pPr>
      <w:numPr>
        <w:ilvl w:val="2"/>
      </w:numPr>
    </w:pPr>
    <w:rPr>
      <w:b w:val="0"/>
      <w:color w:val="0067B9"/>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qFormat/>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Footer">
    <w:name w:val="footer"/>
    <w:basedOn w:val="Normal"/>
    <w:link w:val="FooterChar"/>
    <w:uiPriority w:val="99"/>
    <w:unhideWhenUsed/>
    <w:rsid w:val="00586D5F"/>
    <w:pPr>
      <w:tabs>
        <w:tab w:val="center" w:pos="4513"/>
        <w:tab w:val="right" w:pos="9026"/>
      </w:tabs>
      <w:spacing w:after="0"/>
    </w:pPr>
  </w:style>
  <w:style w:type="character" w:customStyle="1" w:styleId="FooterChar">
    <w:name w:val="Footer Char"/>
    <w:basedOn w:val="DefaultParagraphFont"/>
    <w:link w:val="Footer"/>
    <w:uiPriority w:val="99"/>
    <w:rsid w:val="00586D5F"/>
    <w:rPr>
      <w:sz w:val="24"/>
      <w:szCs w:val="24"/>
      <w:lang w:val="en-AU"/>
    </w:rPr>
  </w:style>
  <w:style w:type="numbering" w:customStyle="1" w:styleId="AHPRABullets">
    <w:name w:val="AHPRA Bullets"/>
    <w:uiPriority w:val="99"/>
    <w:rsid w:val="00E21690"/>
    <w:pPr>
      <w:numPr>
        <w:numId w:val="14"/>
      </w:numPr>
    </w:pPr>
  </w:style>
  <w:style w:type="paragraph" w:customStyle="1" w:styleId="BodyTextBullets">
    <w:name w:val="Body Text Bullets"/>
    <w:uiPriority w:val="1"/>
    <w:qFormat/>
    <w:rsid w:val="00E21690"/>
    <w:pPr>
      <w:numPr>
        <w:numId w:val="14"/>
      </w:numPr>
      <w:spacing w:after="120"/>
      <w:contextualSpacing/>
    </w:pPr>
    <w:rPr>
      <w:rFonts w:eastAsia="Times New Roman" w:cs="Arial"/>
      <w:noProof/>
      <w:szCs w:val="24"/>
      <w:lang w:val="en-AU" w:eastAsia="en-AU"/>
    </w:rPr>
  </w:style>
  <w:style w:type="numbering" w:customStyle="1" w:styleId="AHPRAListBullets">
    <w:name w:val="AHPRA List Bullets"/>
    <w:uiPriority w:val="99"/>
    <w:rsid w:val="00E21690"/>
    <w:pPr>
      <w:numPr>
        <w:numId w:val="16"/>
      </w:numPr>
    </w:pPr>
  </w:style>
  <w:style w:type="paragraph" w:customStyle="1" w:styleId="Tableheadingwhite">
    <w:name w:val="Table heading white"/>
    <w:uiPriority w:val="4"/>
    <w:rsid w:val="00E21690"/>
    <w:pPr>
      <w:spacing w:before="80" w:after="80"/>
      <w:ind w:left="113" w:right="113"/>
    </w:pPr>
    <w:rPr>
      <w:rFonts w:eastAsia="Times New Roman" w:cs="Arial"/>
      <w:b/>
      <w:noProof/>
      <w:color w:val="FFFFFF"/>
      <w:lang w:val="en-AU" w:eastAsia="en-AU"/>
    </w:rPr>
  </w:style>
  <w:style w:type="paragraph" w:customStyle="1" w:styleId="Tabletext">
    <w:name w:val="Table text"/>
    <w:uiPriority w:val="4"/>
    <w:rsid w:val="00E21690"/>
    <w:pPr>
      <w:spacing w:before="80" w:after="80"/>
      <w:ind w:left="113" w:right="113"/>
    </w:pPr>
    <w:rPr>
      <w:rFonts w:cs="Arial"/>
      <w:noProof/>
      <w:lang w:val="en-AU"/>
    </w:rPr>
  </w:style>
  <w:style w:type="paragraph" w:styleId="BodyText">
    <w:name w:val="Body Text"/>
    <w:basedOn w:val="Normal"/>
    <w:link w:val="BodyTextChar"/>
    <w:qFormat/>
    <w:rsid w:val="00E21690"/>
    <w:pPr>
      <w:spacing w:before="200"/>
    </w:pPr>
    <w:rPr>
      <w:rFonts w:cs="Arial"/>
      <w:noProof/>
    </w:rPr>
  </w:style>
  <w:style w:type="character" w:customStyle="1" w:styleId="BodyTextChar">
    <w:name w:val="Body Text Char"/>
    <w:basedOn w:val="DefaultParagraphFont"/>
    <w:link w:val="BodyText"/>
    <w:rsid w:val="00E21690"/>
    <w:rPr>
      <w:rFonts w:cs="Arial"/>
      <w:noProof/>
      <w:szCs w:val="24"/>
      <w:lang w:val="en-AU"/>
    </w:rPr>
  </w:style>
  <w:style w:type="table" w:customStyle="1" w:styleId="AHPRATable1">
    <w:name w:val="AHPRA Table 1"/>
    <w:basedOn w:val="TableGrid"/>
    <w:uiPriority w:val="99"/>
    <w:qFormat/>
    <w:rsid w:val="00E21690"/>
    <w:pPr>
      <w:ind w:left="113" w:right="113"/>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blStylePr w:type="firstRow">
      <w:tblPr/>
      <w:tcPr>
        <w:shd w:val="clear" w:color="auto" w:fill="007CC2"/>
      </w:tcPr>
    </w:tblStylePr>
    <w:tblStylePr w:type="firstCol">
      <w:tblPr/>
      <w:tcPr>
        <w:shd w:val="clear" w:color="auto" w:fill="007CC2"/>
      </w:tcPr>
    </w:tblStylePr>
    <w:tblStylePr w:type="band1Horz">
      <w:tblPr/>
      <w:tcPr>
        <w:shd w:val="clear" w:color="auto" w:fill="BEBFC0"/>
      </w:tcPr>
    </w:tblStylePr>
    <w:tblStylePr w:type="band2Horz">
      <w:tblPr/>
      <w:tcPr>
        <w:shd w:val="clear" w:color="auto" w:fill="DEDFDF"/>
      </w:tcPr>
    </w:tblStylePr>
  </w:style>
  <w:style w:type="paragraph" w:styleId="Date">
    <w:name w:val="Date"/>
    <w:basedOn w:val="Normal"/>
    <w:next w:val="Normal"/>
    <w:link w:val="DateChar"/>
    <w:uiPriority w:val="1"/>
    <w:semiHidden/>
    <w:rsid w:val="00E21690"/>
    <w:pPr>
      <w:spacing w:after="0"/>
      <w:jc w:val="both"/>
    </w:pPr>
    <w:rPr>
      <w:rFonts w:eastAsia="Times New Roman" w:cs="Arial"/>
      <w:noProof/>
      <w:lang w:eastAsia="en-AU"/>
    </w:rPr>
  </w:style>
  <w:style w:type="character" w:customStyle="1" w:styleId="DateChar">
    <w:name w:val="Date Char"/>
    <w:basedOn w:val="DefaultParagraphFont"/>
    <w:link w:val="Date"/>
    <w:uiPriority w:val="1"/>
    <w:semiHidden/>
    <w:rsid w:val="00E21690"/>
    <w:rPr>
      <w:rFonts w:eastAsia="Times New Roman" w:cs="Arial"/>
      <w:noProof/>
      <w:szCs w:val="24"/>
      <w:lang w:val="en-AU" w:eastAsia="en-AU"/>
    </w:rPr>
  </w:style>
  <w:style w:type="paragraph" w:styleId="ListNumber">
    <w:name w:val="List Number"/>
    <w:uiPriority w:val="2"/>
    <w:rsid w:val="00E21690"/>
    <w:pPr>
      <w:numPr>
        <w:numId w:val="15"/>
      </w:numPr>
      <w:spacing w:after="120"/>
      <w:contextualSpacing/>
    </w:pPr>
    <w:rPr>
      <w:rFonts w:eastAsia="Times New Roman" w:cs="Arial"/>
      <w:noProof/>
      <w:szCs w:val="24"/>
      <w:lang w:val="en-AU" w:eastAsia="en-AU"/>
    </w:rPr>
  </w:style>
  <w:style w:type="paragraph" w:styleId="ListNumber2">
    <w:name w:val="List Number 2"/>
    <w:basedOn w:val="Normal"/>
    <w:uiPriority w:val="1"/>
    <w:rsid w:val="00E21690"/>
    <w:pPr>
      <w:numPr>
        <w:ilvl w:val="1"/>
        <w:numId w:val="15"/>
      </w:numPr>
      <w:spacing w:after="120"/>
      <w:contextualSpacing/>
      <w:jc w:val="both"/>
    </w:pPr>
    <w:rPr>
      <w:rFonts w:eastAsia="Times New Roman" w:cs="Arial"/>
      <w:noProof/>
      <w:lang w:eastAsia="en-AU"/>
    </w:rPr>
  </w:style>
  <w:style w:type="paragraph" w:styleId="ListNumber3">
    <w:name w:val="List Number 3"/>
    <w:basedOn w:val="Normal"/>
    <w:uiPriority w:val="1"/>
    <w:rsid w:val="00E21690"/>
    <w:pPr>
      <w:numPr>
        <w:ilvl w:val="2"/>
        <w:numId w:val="15"/>
      </w:numPr>
      <w:spacing w:after="120"/>
      <w:contextualSpacing/>
      <w:jc w:val="both"/>
    </w:pPr>
    <w:rPr>
      <w:rFonts w:eastAsia="Times New Roman" w:cs="Arial"/>
      <w:noProof/>
      <w:lang w:eastAsia="en-AU"/>
    </w:rPr>
  </w:style>
  <w:style w:type="paragraph" w:styleId="Title">
    <w:name w:val="Title"/>
    <w:basedOn w:val="BodyText"/>
    <w:next w:val="Normal"/>
    <w:link w:val="TitleChar"/>
    <w:uiPriority w:val="99"/>
    <w:rsid w:val="00E21690"/>
    <w:pPr>
      <w:framePr w:hSpace="181" w:wrap="around" w:vAnchor="page" w:hAnchor="page" w:y="3573"/>
      <w:spacing w:before="0" w:after="0"/>
    </w:pPr>
    <w:rPr>
      <w:color w:val="007CC2"/>
      <w:sz w:val="32"/>
    </w:rPr>
  </w:style>
  <w:style w:type="character" w:customStyle="1" w:styleId="TitleChar">
    <w:name w:val="Title Char"/>
    <w:basedOn w:val="DefaultParagraphFont"/>
    <w:link w:val="Title"/>
    <w:uiPriority w:val="99"/>
    <w:rsid w:val="00E21690"/>
    <w:rPr>
      <w:rFonts w:cs="Arial"/>
      <w:noProof/>
      <w:color w:val="007CC2"/>
      <w:sz w:val="32"/>
      <w:szCs w:val="24"/>
      <w:lang w:val="en-AU"/>
    </w:rPr>
  </w:style>
  <w:style w:type="paragraph" w:styleId="Subtitle">
    <w:name w:val="Subtitle"/>
    <w:basedOn w:val="Heading1"/>
    <w:next w:val="BodyText"/>
    <w:link w:val="SubtitleChar"/>
    <w:uiPriority w:val="99"/>
    <w:rsid w:val="00E21690"/>
    <w:pPr>
      <w:spacing w:before="360" w:after="360"/>
    </w:pPr>
    <w:rPr>
      <w:rFonts w:ascii="Arial" w:eastAsia="Cambria" w:hAnsi="Arial" w:cs="Times New Roman"/>
      <w:b w:val="0"/>
      <w:bCs w:val="0"/>
      <w:noProof/>
      <w:color w:val="5F6062"/>
      <w:kern w:val="0"/>
      <w:szCs w:val="24"/>
    </w:rPr>
  </w:style>
  <w:style w:type="character" w:customStyle="1" w:styleId="SubtitleChar">
    <w:name w:val="Subtitle Char"/>
    <w:basedOn w:val="DefaultParagraphFont"/>
    <w:link w:val="Subtitle"/>
    <w:uiPriority w:val="99"/>
    <w:rsid w:val="00E21690"/>
    <w:rPr>
      <w:noProof/>
      <w:color w:val="5F6062"/>
      <w:sz w:val="32"/>
      <w:szCs w:val="24"/>
      <w:lang w:val="en-AU"/>
    </w:rPr>
  </w:style>
  <w:style w:type="character" w:styleId="PlaceholderText">
    <w:name w:val="Placeholder Text"/>
    <w:basedOn w:val="DefaultParagraphFont"/>
    <w:uiPriority w:val="1"/>
    <w:unhideWhenUsed/>
    <w:rsid w:val="00E21690"/>
    <w:rPr>
      <w:color w:val="808080"/>
    </w:rPr>
  </w:style>
  <w:style w:type="paragraph" w:customStyle="1" w:styleId="BodyTextBullets2">
    <w:name w:val="Body Text Bullets 2"/>
    <w:basedOn w:val="BodyTextBullets"/>
    <w:qFormat/>
    <w:rsid w:val="00E21690"/>
    <w:pPr>
      <w:numPr>
        <w:ilvl w:val="1"/>
      </w:numPr>
    </w:pPr>
  </w:style>
  <w:style w:type="paragraph" w:customStyle="1" w:styleId="BodyTextBullets3">
    <w:name w:val="Body Text Bullets 3"/>
    <w:basedOn w:val="BodyTextBullets"/>
    <w:qFormat/>
    <w:rsid w:val="00E21690"/>
    <w:pPr>
      <w:numPr>
        <w:ilvl w:val="2"/>
      </w:numPr>
    </w:pPr>
  </w:style>
  <w:style w:type="paragraph" w:customStyle="1" w:styleId="ListBullet1a">
    <w:name w:val="List Bullet 1a"/>
    <w:qFormat/>
    <w:rsid w:val="00E21690"/>
    <w:pPr>
      <w:numPr>
        <w:numId w:val="16"/>
      </w:numPr>
      <w:spacing w:after="120"/>
      <w:contextualSpacing/>
    </w:pPr>
    <w:rPr>
      <w:rFonts w:cs="Arial"/>
      <w:noProof/>
      <w:szCs w:val="24"/>
      <w:lang w:val="en-AU"/>
    </w:rPr>
  </w:style>
  <w:style w:type="paragraph" w:customStyle="1" w:styleId="ListBullet1b">
    <w:name w:val="List Bullet 1b"/>
    <w:qFormat/>
    <w:rsid w:val="00E21690"/>
    <w:pPr>
      <w:numPr>
        <w:ilvl w:val="3"/>
        <w:numId w:val="16"/>
      </w:numPr>
      <w:spacing w:after="120"/>
      <w:ind w:left="1106" w:hanging="369"/>
      <w:contextualSpacing/>
    </w:pPr>
    <w:rPr>
      <w:rFonts w:cs="Arial"/>
      <w:noProof/>
      <w:szCs w:val="24"/>
      <w:lang w:val="en-AU"/>
    </w:rPr>
  </w:style>
  <w:style w:type="paragraph" w:customStyle="1" w:styleId="ListBullet1c">
    <w:name w:val="List Bullet 1c"/>
    <w:qFormat/>
    <w:rsid w:val="00E21690"/>
    <w:pPr>
      <w:numPr>
        <w:ilvl w:val="6"/>
        <w:numId w:val="16"/>
      </w:numPr>
      <w:spacing w:after="120"/>
      <w:ind w:left="1474"/>
      <w:contextualSpacing/>
    </w:pPr>
    <w:rPr>
      <w:rFonts w:cs="Arial"/>
      <w:noProof/>
      <w:szCs w:val="24"/>
      <w:lang w:val="en-AU"/>
    </w:rPr>
  </w:style>
  <w:style w:type="paragraph" w:customStyle="1" w:styleId="StyleAHPRAtableheadingBackground1">
    <w:name w:val="Style AHPRA table heading + Background 1"/>
    <w:basedOn w:val="AHPRAtableheading"/>
    <w:rsid w:val="00E21690"/>
    <w:rPr>
      <w:bCs/>
    </w:rPr>
  </w:style>
  <w:style w:type="paragraph" w:customStyle="1" w:styleId="StyleAHPRADocumenttitleAfter0pt">
    <w:name w:val="Style AHPRA Document title + After:  0 pt"/>
    <w:basedOn w:val="AHPRADocumenttitle"/>
    <w:next w:val="AHPRAbody"/>
    <w:rsid w:val="00E21690"/>
    <w:rPr>
      <w:rFonts w:eastAsia="Times New Roman" w:cs="Times New Roman"/>
      <w:szCs w:val="20"/>
    </w:rPr>
  </w:style>
  <w:style w:type="paragraph" w:styleId="TOC7">
    <w:name w:val="toc 7"/>
    <w:basedOn w:val="Normal"/>
    <w:next w:val="Normal"/>
    <w:autoRedefine/>
    <w:uiPriority w:val="1"/>
    <w:semiHidden/>
    <w:unhideWhenUsed/>
    <w:rsid w:val="00B1443A"/>
    <w:pPr>
      <w:spacing w:after="100"/>
      <w:ind w:left="1200"/>
    </w:pPr>
  </w:style>
  <w:style w:type="paragraph" w:customStyle="1" w:styleId="AHPRAbodyContextparanumbered">
    <w:name w:val="AHPRA body 'Context' para numbered"/>
    <w:uiPriority w:val="1"/>
    <w:qFormat/>
    <w:rsid w:val="00D1152D"/>
    <w:pPr>
      <w:numPr>
        <w:numId w:val="19"/>
      </w:numPr>
      <w:spacing w:after="200"/>
      <w:ind w:left="0" w:hanging="425"/>
    </w:pPr>
    <w:rPr>
      <w:rFonts w:cs="Arial"/>
      <w:szCs w:val="24"/>
      <w:lang w:val="en-AU"/>
    </w:rPr>
  </w:style>
  <w:style w:type="paragraph" w:customStyle="1" w:styleId="AHPRAitemheading">
    <w:name w:val="AHPRA item heading"/>
    <w:basedOn w:val="Normal"/>
    <w:next w:val="Normal"/>
    <w:rsid w:val="0086579F"/>
    <w:pPr>
      <w:numPr>
        <w:numId w:val="20"/>
      </w:numPr>
      <w:spacing w:before="200"/>
    </w:pPr>
    <w:rPr>
      <w:b/>
      <w:color w:val="0067B9"/>
      <w:lang w:val="en-US"/>
    </w:rPr>
  </w:style>
  <w:style w:type="paragraph" w:customStyle="1" w:styleId="AHPRAitemlevel2">
    <w:name w:val="AHPRA item level 2"/>
    <w:basedOn w:val="Normal"/>
    <w:rsid w:val="00D1152D"/>
    <w:pPr>
      <w:numPr>
        <w:ilvl w:val="1"/>
        <w:numId w:val="20"/>
      </w:numPr>
      <w:spacing w:before="200"/>
    </w:pPr>
    <w:rPr>
      <w:b/>
      <w:lang w:val="en-US"/>
    </w:rPr>
  </w:style>
  <w:style w:type="paragraph" w:customStyle="1" w:styleId="AHPRAitemlevel3">
    <w:name w:val="AHPRA item level 3"/>
    <w:basedOn w:val="AHPRAitemlevel2"/>
    <w:uiPriority w:val="1"/>
    <w:rsid w:val="00D1152D"/>
    <w:pPr>
      <w:numPr>
        <w:ilvl w:val="2"/>
      </w:numPr>
    </w:pPr>
  </w:style>
  <w:style w:type="paragraph" w:customStyle="1" w:styleId="AHPRAActionpoint">
    <w:name w:val="AHPRA Action point"/>
    <w:basedOn w:val="Normal"/>
    <w:rsid w:val="00D1152D"/>
    <w:pPr>
      <w:jc w:val="right"/>
    </w:pPr>
    <w:rPr>
      <w:rFonts w:cs="Arial"/>
      <w:b/>
      <w:bCs/>
      <w:i/>
      <w:lang w:val="en-US"/>
    </w:rPr>
  </w:style>
  <w:style w:type="paragraph" w:customStyle="1" w:styleId="AHPRAComplextableheadings">
    <w:name w:val="AHPRA Complex table headings"/>
    <w:basedOn w:val="AHPRAtableheading"/>
    <w:uiPriority w:val="1"/>
    <w:rsid w:val="00FD39AF"/>
  </w:style>
  <w:style w:type="paragraph" w:customStyle="1" w:styleId="AHPRAComplextablerowheaders">
    <w:name w:val="AHPRA Complex table row headers"/>
    <w:basedOn w:val="AHPRAtabletext"/>
    <w:uiPriority w:val="1"/>
    <w:rsid w:val="00FD39AF"/>
    <w:pPr>
      <w:spacing w:before="120" w:after="120"/>
    </w:pPr>
    <w:rPr>
      <w:color w:val="FFFFFF" w:themeColor="background1"/>
    </w:rPr>
  </w:style>
  <w:style w:type="paragraph" w:styleId="ListParagraph">
    <w:name w:val="List Paragraph"/>
    <w:aliases w:val="Bullet point,List Paragraph1,List Paragraph11,Recommendation,Body text,Bullet Point,Bulletr List Paragraph,Content descriptions,FooterText,L,List Bullet 1,List Paragraph2,List Paragraph21,Listeafsnit1,NFP GP Bulleted List,リスト段"/>
    <w:basedOn w:val="Normal"/>
    <w:link w:val="ListParagraphChar"/>
    <w:uiPriority w:val="34"/>
    <w:unhideWhenUsed/>
    <w:qFormat/>
    <w:rsid w:val="004D3229"/>
    <w:pPr>
      <w:spacing w:before="120" w:line="276" w:lineRule="auto"/>
      <w:ind w:left="720"/>
      <w:contextualSpacing/>
    </w:pPr>
    <w:rPr>
      <w:rFonts w:ascii="Calibri" w:eastAsia="Calibri" w:hAnsi="Calibri" w:cstheme="minorHAnsi"/>
      <w:sz w:val="22"/>
      <w:szCs w:val="22"/>
      <w:lang w:val="en-GB"/>
    </w:rPr>
  </w:style>
  <w:style w:type="character" w:customStyle="1" w:styleId="ListParagraphChar">
    <w:name w:val="List Paragraph Char"/>
    <w:aliases w:val="Bullet point Char,List Paragraph1 Char,List Paragraph11 Char,Recommendation Char,Body text Char,Bullet Point Char,Bulletr List Paragraph Char,Content descriptions Char,FooterText Char,L Char,List Bullet 1 Char,List Paragraph2 Char"/>
    <w:link w:val="ListParagraph"/>
    <w:uiPriority w:val="34"/>
    <w:locked/>
    <w:rsid w:val="004D3229"/>
    <w:rPr>
      <w:rFonts w:ascii="Calibri" w:eastAsia="Calibri" w:hAnsi="Calibri" w:cstheme="minorHAnsi"/>
      <w:sz w:val="22"/>
      <w:szCs w:val="22"/>
      <w:lang w:val="en-GB"/>
    </w:rPr>
  </w:style>
  <w:style w:type="paragraph" w:styleId="NormalWeb">
    <w:name w:val="Normal (Web)"/>
    <w:basedOn w:val="Normal"/>
    <w:uiPriority w:val="99"/>
    <w:semiHidden/>
    <w:unhideWhenUsed/>
    <w:rsid w:val="005905E5"/>
    <w:pPr>
      <w:spacing w:before="100" w:beforeAutospacing="1" w:after="100" w:afterAutospacing="1"/>
    </w:pPr>
    <w:rPr>
      <w:rFonts w:ascii="Times New Roman" w:eastAsia="Times New Roman" w:hAnsi="Times New Roman"/>
      <w:sz w:val="24"/>
      <w:lang w:eastAsia="en-AU"/>
    </w:rPr>
  </w:style>
  <w:style w:type="character" w:customStyle="1" w:styleId="AHPRASubheadingChar">
    <w:name w:val="AHPRA Subheading Char"/>
    <w:basedOn w:val="DefaultParagraphFont"/>
    <w:link w:val="AHPRASubheading"/>
    <w:rsid w:val="009B61B0"/>
    <w:rPr>
      <w:b/>
      <w:color w:val="0067B9"/>
      <w:szCs w:val="24"/>
      <w:lang w:val="en-AU"/>
    </w:rPr>
  </w:style>
  <w:style w:type="character" w:styleId="CommentReference">
    <w:name w:val="annotation reference"/>
    <w:basedOn w:val="DefaultParagraphFont"/>
    <w:uiPriority w:val="1"/>
    <w:semiHidden/>
    <w:unhideWhenUsed/>
    <w:rsid w:val="005727E5"/>
    <w:rPr>
      <w:sz w:val="16"/>
      <w:szCs w:val="16"/>
    </w:rPr>
  </w:style>
  <w:style w:type="paragraph" w:styleId="CommentText">
    <w:name w:val="annotation text"/>
    <w:basedOn w:val="Normal"/>
    <w:link w:val="CommentTextChar"/>
    <w:uiPriority w:val="1"/>
    <w:semiHidden/>
    <w:unhideWhenUsed/>
    <w:rsid w:val="005727E5"/>
    <w:rPr>
      <w:szCs w:val="20"/>
    </w:rPr>
  </w:style>
  <w:style w:type="character" w:customStyle="1" w:styleId="CommentTextChar">
    <w:name w:val="Comment Text Char"/>
    <w:basedOn w:val="DefaultParagraphFont"/>
    <w:link w:val="CommentText"/>
    <w:uiPriority w:val="1"/>
    <w:semiHidden/>
    <w:rsid w:val="005727E5"/>
    <w:rPr>
      <w:lang w:val="en-AU"/>
    </w:rPr>
  </w:style>
  <w:style w:type="paragraph" w:styleId="CommentSubject">
    <w:name w:val="annotation subject"/>
    <w:basedOn w:val="CommentText"/>
    <w:next w:val="CommentText"/>
    <w:link w:val="CommentSubjectChar"/>
    <w:uiPriority w:val="1"/>
    <w:semiHidden/>
    <w:unhideWhenUsed/>
    <w:rsid w:val="005727E5"/>
    <w:rPr>
      <w:b/>
      <w:bCs/>
    </w:rPr>
  </w:style>
  <w:style w:type="character" w:customStyle="1" w:styleId="CommentSubjectChar">
    <w:name w:val="Comment Subject Char"/>
    <w:basedOn w:val="CommentTextChar"/>
    <w:link w:val="CommentSubject"/>
    <w:uiPriority w:val="1"/>
    <w:semiHidden/>
    <w:rsid w:val="005727E5"/>
    <w:rPr>
      <w:b/>
      <w:bCs/>
      <w:lang w:val="en-AU"/>
    </w:rPr>
  </w:style>
  <w:style w:type="paragraph" w:styleId="Revision">
    <w:name w:val="Revision"/>
    <w:hidden/>
    <w:semiHidden/>
    <w:rsid w:val="00FE0379"/>
    <w:rPr>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598755029">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201879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HPRA Document" ma:contentTypeID="0x0101007E328995E91CD741988FE0EDCD0FE501003514406CEC80134B9928815FB47C4149" ma:contentTypeVersion="25" ma:contentTypeDescription="" ma:contentTypeScope="" ma:versionID="1841d3d4638505c49fac8769de607ffa">
  <xsd:schema xmlns:xsd="http://www.w3.org/2001/XMLSchema" xmlns:xs="http://www.w3.org/2001/XMLSchema" xmlns:p="http://schemas.microsoft.com/office/2006/metadata/properties" xmlns:ns2="761d48cd-bbec-4535-8dcc-f08ff2afd866" xmlns:ns3="3ae841f7-cbf9-4fa0-aaff-a3738286b7ea" targetNamespace="http://schemas.microsoft.com/office/2006/metadata/properties" ma:root="true" ma:fieldsID="ed883bef232677e8d455a9a659f1c298" ns2:_="" ns3:_="">
    <xsd:import namespace="761d48cd-bbec-4535-8dcc-f08ff2afd866"/>
    <xsd:import namespace="3ae841f7-cbf9-4fa0-aaff-a3738286b7ea"/>
    <xsd:element name="properties">
      <xsd:complexType>
        <xsd:sequence>
          <xsd:element name="documentManagement">
            <xsd:complexType>
              <xsd:all>
                <xsd:element ref="ns2:AHPRA_x0020_Page_x0020_Topics"/>
                <xsd:element ref="ns2:Expiry_x0020_Date" minOccurs="0"/>
                <xsd:element ref="ns2:Published_x0020_Date" minOccurs="0"/>
                <xsd:element ref="ns2:AHPRA_x0020_Page_x0020_Topics_x003a_Secondary_x0020_Approver_x0020_Name" minOccurs="0"/>
                <xsd:element ref="ns2:AHPRA_x0020_Page_x0020_Topics_x003a_Primary_x0020_Approver_x0020_Email" minOccurs="0"/>
                <xsd:element ref="ns2:AHPRA_x0020_Page_x0020_Topics_x003a_Secondary_x0020_Approver_x0020_Email" minOccurs="0"/>
                <xsd:element ref="ns2:AHPRA_x0020_Page_x0020_Topics_x003a_Primary_x0020_Approver_x0020_Name" minOccurs="0"/>
                <xsd:element ref="ns3:MediaServiceMetadata" minOccurs="0"/>
                <xsd:element ref="ns3:MediaServiceFastMetadata" minOccurs="0"/>
                <xsd:element ref="ns2:n8e1a3709f0e4268ba9a7a033b45de14" minOccurs="0"/>
                <xsd:element ref="ns2:TaxCatchAll" minOccurs="0"/>
                <xsd:element ref="ns2:TaxCatchAllLabel" minOccurs="0"/>
                <xsd:element ref="ns3:Author0" minOccurs="0"/>
                <xsd:element ref="ns3:Publisher" minOccurs="0"/>
                <xsd:element ref="ns2:SharedWithUsers" minOccurs="0"/>
                <xsd:element ref="ns2:SharedWithDetails" minOccurs="0"/>
                <xsd:element ref="ns3:Board" minOccurs="0"/>
                <xsd:element ref="ns3:Code" minOccurs="0"/>
                <xsd:element ref="ns3:Formtyp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d48cd-bbec-4535-8dcc-f08ff2afd866" elementFormDefault="qualified">
    <xsd:import namespace="http://schemas.microsoft.com/office/2006/documentManagement/types"/>
    <xsd:import namespace="http://schemas.microsoft.com/office/infopath/2007/PartnerControls"/>
    <xsd:element name="AHPRA_x0020_Page_x0020_Topics" ma:index="3" ma:displayName="AHPRA Page Topics" ma:list="{6ba8c46b-4677-43a5-a438-f00e804a2180}" ma:internalName="AHPRA_x0020_Page_x0020_Topics" ma:readOnly="false" ma:showField="Topic" ma:web="761d48cd-bbec-4535-8dcc-f08ff2afd866">
      <xsd:simpleType>
        <xsd:restriction base="dms:Lookup"/>
      </xsd:simpleType>
    </xsd:element>
    <xsd:element name="Expiry_x0020_Date" ma:index="4" nillable="true" ma:displayName="Page Expiry Date" ma:format="DateOnly" ma:internalName="Expiry_x0020_Date">
      <xsd:simpleType>
        <xsd:restriction base="dms:DateTime"/>
      </xsd:simpleType>
    </xsd:element>
    <xsd:element name="Published_x0020_Date" ma:index="5" nillable="true" ma:displayName="Page Published Date" ma:format="DateOnly" ma:internalName="Published_x0020_Date">
      <xsd:simpleType>
        <xsd:restriction base="dms:DateTime"/>
      </xsd:simpleType>
    </xsd:element>
    <xsd:element name="AHPRA_x0020_Page_x0020_Topics_x003a_Secondary_x0020_Approver_x0020_Name" ma:index="11" nillable="true" ma:displayName="AHPRA Page Topics:Secondary Approver Name" ma:list="{6ba8c46b-4677-43a5-a438-f00e804a2180}" ma:internalName="AHPRA_x0020_Page_x0020_Topics_x003A_Secondary_x0020_Approver_x0020_Name" ma:readOnly="true" ma:showField="SecondaryApproverName" ma:web="761d48cd-bbec-4535-8dcc-f08ff2afd866">
      <xsd:simpleType>
        <xsd:restriction base="dms:Lookup"/>
      </xsd:simpleType>
    </xsd:element>
    <xsd:element name="AHPRA_x0020_Page_x0020_Topics_x003a_Primary_x0020_Approver_x0020_Email" ma:index="12" nillable="true" ma:displayName="AHPRA Page Topics:Primary Approver Email" ma:list="{6ba8c46b-4677-43a5-a438-f00e804a2180}" ma:internalName="AHPRA_x0020_Page_x0020_Topics_x003A_Primary_x0020_Approver_x0020_Email" ma:readOnly="true" ma:showField="PrimaryApproverEmail" ma:web="761d48cd-bbec-4535-8dcc-f08ff2afd866">
      <xsd:simpleType>
        <xsd:restriction base="dms:Lookup"/>
      </xsd:simpleType>
    </xsd:element>
    <xsd:element name="AHPRA_x0020_Page_x0020_Topics_x003a_Secondary_x0020_Approver_x0020_Email" ma:index="13" nillable="true" ma:displayName="AHPRA Page Topics:Secondary Approver Email" ma:list="{6ba8c46b-4677-43a5-a438-f00e804a2180}" ma:internalName="AHPRA_x0020_Page_x0020_Topics_x003A_Secondary_x0020_Approver_x0020_Email" ma:readOnly="true" ma:showField="SecondaryApproverEmail" ma:web="761d48cd-bbec-4535-8dcc-f08ff2afd866">
      <xsd:simpleType>
        <xsd:restriction base="dms:Lookup"/>
      </xsd:simpleType>
    </xsd:element>
    <xsd:element name="AHPRA_x0020_Page_x0020_Topics_x003a_Primary_x0020_Approver_x0020_Name" ma:index="14" nillable="true" ma:displayName="AHPRA Page Topics:Primary Approver Name" ma:list="{6ba8c46b-4677-43a5-a438-f00e804a2180}" ma:internalName="AHPRA_x0020_Page_x0020_Topics_x003A_Primary_x0020_Approver_x0020_Name" ma:readOnly="true" ma:showField="PrimaryApproverName" ma:web="761d48cd-bbec-4535-8dcc-f08ff2afd866">
      <xsd:simpleType>
        <xsd:restriction base="dms:Lookup"/>
      </xsd:simpleType>
    </xsd:element>
    <xsd:element name="n8e1a3709f0e4268ba9a7a033b45de14" ma:index="17" nillable="true" ma:taxonomy="true" ma:internalName="n8e1a3709f0e4268ba9a7a033b45de14" ma:taxonomyFieldName="Refiners" ma:displayName="AHPRA doc types" ma:default="" ma:fieldId="{78e1a370-9f0e-4268-ba9a-7a033b45de14}" ma:sspId="05e44d89-006d-4b06-b371-1284865c0da1" ma:termSetId="08614663-66ba-483a-b58e-d2d3754ddd4f"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7145102e-246b-4c65-99b3-c1d0c9150ea2}" ma:internalName="TaxCatchAll" ma:showField="CatchAllData" ma:web="761d48cd-bbec-4535-8dcc-f08ff2afd86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7145102e-246b-4c65-99b3-c1d0c9150ea2}" ma:internalName="TaxCatchAllLabel" ma:readOnly="true" ma:showField="CatchAllDataLabel" ma:web="761d48cd-bbec-4535-8dcc-f08ff2afd8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e841f7-cbf9-4fa0-aaff-a3738286b7ea"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Author0" ma:index="21" nillable="true" ma:displayName="Authors" ma:format="Dropdown" ma:internalName="Author0">
      <xsd:simpleType>
        <xsd:restriction base="dms:Text">
          <xsd:maxLength value="255"/>
        </xsd:restriction>
      </xsd:simpleType>
    </xsd:element>
    <xsd:element name="Publisher" ma:index="22" nillable="true" ma:displayName="Publisher" ma:format="Dropdown" ma:internalName="Publisher">
      <xsd:simpleType>
        <xsd:restriction base="dms:Note">
          <xsd:maxLength value="255"/>
        </xsd:restriction>
      </xsd:simpleType>
    </xsd:element>
    <xsd:element name="Board" ma:index="25" nillable="true" ma:displayName="Board" ma:description="Name of National Board. " ma:format="Dropdown" ma:internalName="Board">
      <xsd:simpleType>
        <xsd:restriction base="dms:Choice">
          <xsd:enumeration value="ATSIHPB"/>
          <xsd:enumeration value="Chinese Medicine"/>
          <xsd:enumeration value="Chiropractic"/>
          <xsd:enumeration value="Dental"/>
          <xsd:enumeration value="Medical"/>
          <xsd:enumeration value="Medical Radiation Practice"/>
          <xsd:enumeration value="Nursing and Midwifery"/>
          <xsd:enumeration value="Occupational Therapy"/>
          <xsd:enumeration value="Optometry"/>
          <xsd:enumeration value="Osteopathy"/>
          <xsd:enumeration value="Pharmacy"/>
          <xsd:enumeration value="Physiotherapy"/>
          <xsd:enumeration value="Podiatry"/>
          <xsd:enumeration value="Psychology"/>
        </xsd:restriction>
      </xsd:simpleType>
    </xsd:element>
    <xsd:element name="Code" ma:index="26" nillable="true" ma:displayName="Code" ma:description="Registration form code" ma:format="Dropdown" ma:internalName="Code">
      <xsd:simpleType>
        <xsd:restriction base="dms:Text">
          <xsd:maxLength value="255"/>
        </xsd:restriction>
      </xsd:simpleType>
    </xsd:element>
    <xsd:element name="Formtype" ma:index="27" nillable="true" ma:displayName="Form type" ma:description="Type of registration form" ma:format="Dropdown" ma:internalName="Formtype">
      <xsd:simpleType>
        <xsd:restriction base="dms:Choice">
          <xsd:enumeration value="Appeal"/>
          <xsd:enumeration value="Fast track application"/>
          <xsd:enumeration value="General (teaching &amp; assessing) renewal"/>
          <xsd:enumeration value="General/Specialist/Non-practising"/>
          <xsd:enumeration value="General/Non-practising/Specialist renewal"/>
          <xsd:enumeration value="General/Non-practising renewal"/>
          <xsd:enumeration value="Graduate applications"/>
          <xsd:enumeration value="Limited renewal"/>
          <xsd:enumeration value="Provisonal registration"/>
          <xsd:enumeration value="Provisional renewal"/>
        </xsd:restrictio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ed_x0020_Date xmlns="761d48cd-bbec-4535-8dcc-f08ff2afd866" xsi:nil="true"/>
    <TaxCatchAll xmlns="761d48cd-bbec-4535-8dcc-f08ff2afd866">
      <Value>75</Value>
    </TaxCatchAll>
    <AHPRA_x0020_Page_x0020_Topics xmlns="761d48cd-bbec-4535-8dcc-f08ff2afd866">21</AHPRA_x0020_Page_x0020_Topics>
    <n8e1a3709f0e4268ba9a7a033b45de14 xmlns="761d48cd-bbec-4535-8dcc-f08ff2afd866">
      <Terms xmlns="http://schemas.microsoft.com/office/infopath/2007/PartnerControls">
        <TermInfo xmlns="http://schemas.microsoft.com/office/infopath/2007/PartnerControls">
          <TermName xmlns="http://schemas.microsoft.com/office/infopath/2007/PartnerControls">AHPRA</TermName>
          <TermId xmlns="http://schemas.microsoft.com/office/infopath/2007/PartnerControls">4c722da7-77f9-475a-a7b3-79fdcd2e4fb1</TermId>
        </TermInfo>
      </Terms>
    </n8e1a3709f0e4268ba9a7a033b45de14>
    <Expiry_x0020_Date xmlns="761d48cd-bbec-4535-8dcc-f08ff2afd866" xsi:nil="true"/>
    <Publisher xmlns="3ae841f7-cbf9-4fa0-aaff-a3738286b7ea" xsi:nil="true"/>
    <Author0 xmlns="3ae841f7-cbf9-4fa0-aaff-a3738286b7ea" xsi:nil="true"/>
    <Formtype xmlns="3ae841f7-cbf9-4fa0-aaff-a3738286b7ea" xsi:nil="true"/>
    <Code xmlns="3ae841f7-cbf9-4fa0-aaff-a3738286b7ea" xsi:nil="true"/>
    <Board xmlns="3ae841f7-cbf9-4fa0-aaff-a3738286b7e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5A31D-7E22-4971-906C-7E903D3DDE90}">
  <ds:schemaRefs>
    <ds:schemaRef ds:uri="http://schemas.openxmlformats.org/officeDocument/2006/bibliography"/>
  </ds:schemaRefs>
</ds:datastoreItem>
</file>

<file path=customXml/itemProps2.xml><?xml version="1.0" encoding="utf-8"?>
<ds:datastoreItem xmlns:ds="http://schemas.openxmlformats.org/officeDocument/2006/customXml" ds:itemID="{3E5C6F0B-C0B2-4CB2-943C-9321C44BA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d48cd-bbec-4535-8dcc-f08ff2afd866"/>
    <ds:schemaRef ds:uri="3ae841f7-cbf9-4fa0-aaff-a3738286b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21494-78DA-4AD0-9E98-C0586F5BD368}">
  <ds:schemaRefs>
    <ds:schemaRef ds:uri="http://schemas.microsoft.com/office/2006/metadata/properties"/>
    <ds:schemaRef ds:uri="http://schemas.microsoft.com/office/infopath/2007/PartnerControls"/>
    <ds:schemaRef ds:uri="761d48cd-bbec-4535-8dcc-f08ff2afd866"/>
    <ds:schemaRef ds:uri="3ae841f7-cbf9-4fa0-aaff-a3738286b7ea"/>
  </ds:schemaRefs>
</ds:datastoreItem>
</file>

<file path=customXml/itemProps4.xml><?xml version="1.0" encoding="utf-8"?>
<ds:datastoreItem xmlns:ds="http://schemas.openxmlformats.org/officeDocument/2006/customXml" ds:itemID="{92F196B9-E69E-409C-B3F2-00F82C554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Review of the regulation of podiatric surgeons</vt:lpstr>
    </vt:vector>
  </TitlesOfParts>
  <Company>Ahpra</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regulation of podiatric surgeons</dc:title>
  <dc:subject>Terms of reference</dc:subject>
  <dc:creator>Ahpra</dc:creator>
  <cp:keywords/>
  <dc:description/>
  <cp:lastModifiedBy>Brett Cremer</cp:lastModifiedBy>
  <cp:revision>2</cp:revision>
  <cp:lastPrinted>2012-02-10T00:45:00Z</cp:lastPrinted>
  <dcterms:created xsi:type="dcterms:W3CDTF">2023-10-04T22:22:00Z</dcterms:created>
  <dcterms:modified xsi:type="dcterms:W3CDTF">2023-10-04T22:22:00Z</dcterms:modified>
</cp:coreProperties>
</file>