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4B" w:rsidRDefault="008A374B" w:rsidP="008A374B">
      <w:pPr>
        <w:pStyle w:val="AHPRADocumenttitle"/>
        <w:ind w:left="-1247" w:right="7279" w:firstLine="1247"/>
        <w:rPr>
          <w:noProof/>
          <w:lang w:val="en-GB" w:eastAsia="en-GB"/>
        </w:rPr>
      </w:pPr>
      <w:bookmarkStart w:id="0" w:name="_GoBack"/>
      <w:bookmarkEnd w:id="0"/>
    </w:p>
    <w:p w:rsidR="00FC2881" w:rsidRPr="005330A7" w:rsidRDefault="008A374B" w:rsidP="008A374B">
      <w:pPr>
        <w:pStyle w:val="AHPRADocumenttitle"/>
        <w:pBdr>
          <w:bottom w:val="single" w:sz="4" w:space="1" w:color="auto"/>
        </w:pBdr>
        <w:ind w:left="-1418" w:right="6893" w:firstLine="1418"/>
      </w:pPr>
      <w:r>
        <w:rPr>
          <w:noProof/>
          <w:lang w:val="en-GB" w:eastAsia="en-GB"/>
        </w:rPr>
        <w:t xml:space="preserve">Communique </w:t>
      </w:r>
    </w:p>
    <w:p w:rsidR="008A374B" w:rsidRDefault="008A374B" w:rsidP="008A374B">
      <w:pPr>
        <w:pStyle w:val="AHPRADocumentsubheading"/>
        <w:spacing w:after="0"/>
      </w:pPr>
    </w:p>
    <w:p w:rsidR="008A374B" w:rsidRPr="00D81560" w:rsidRDefault="008A374B" w:rsidP="008A374B">
      <w:pPr>
        <w:pStyle w:val="AHPRADocumentsubheading"/>
        <w:rPr>
          <w:b/>
        </w:rPr>
      </w:pPr>
      <w:r w:rsidRPr="00085F82">
        <w:t>Notifications</w:t>
      </w:r>
      <w:r w:rsidRPr="00D81560">
        <w:t xml:space="preserve"> workshop with the A</w:t>
      </w:r>
      <w:r>
        <w:t>ustralian Medical Association</w:t>
      </w:r>
      <w:r w:rsidRPr="00D81560">
        <w:t>, the M</w:t>
      </w:r>
      <w:r>
        <w:t xml:space="preserve">edical Board of Australia and the Australian Health Practitioner Regulation Agency held </w:t>
      </w:r>
      <w:r w:rsidRPr="00D81560">
        <w:t>on</w:t>
      </w:r>
      <w:r>
        <w:t xml:space="preserve"> the</w:t>
      </w:r>
      <w:r w:rsidRPr="00D81560">
        <w:t xml:space="preserve"> 5 April 2017</w:t>
      </w:r>
    </w:p>
    <w:p w:rsidR="008A374B" w:rsidRDefault="008A374B" w:rsidP="008A374B">
      <w:pPr>
        <w:pStyle w:val="AHPRAbody"/>
        <w:spacing w:before="200"/>
        <w:rPr>
          <w:rFonts w:eastAsia="Arial"/>
        </w:rPr>
      </w:pPr>
      <w:r w:rsidRPr="00CC1FDF">
        <w:t>Senior leaders from the Medical Board of Australia (MBA</w:t>
      </w:r>
      <w:r>
        <w:t xml:space="preserve">), the Australian Health Practitioner Regulation Agency (AHPRA) and the </w:t>
      </w:r>
      <w:r w:rsidRPr="00CC1FDF">
        <w:t xml:space="preserve">Australian Medical Association (AMA) </w:t>
      </w:r>
      <w:r>
        <w:t>met</w:t>
      </w:r>
      <w:r w:rsidRPr="00CC1FDF">
        <w:t xml:space="preserve"> on 5 April 2017 </w:t>
      </w:r>
      <w:r>
        <w:t xml:space="preserve">for the third consecutive year to discuss how notifications are managed </w:t>
      </w:r>
      <w:r w:rsidRPr="00CC1FDF">
        <w:t xml:space="preserve">in </w:t>
      </w:r>
      <w:r>
        <w:t>the National Registration and Accreditation Scheme.</w:t>
      </w:r>
    </w:p>
    <w:p w:rsidR="008A374B" w:rsidRPr="00CC1FDF" w:rsidRDefault="008A374B" w:rsidP="008A374B">
      <w:pPr>
        <w:pStyle w:val="AHPRAbody"/>
        <w:spacing w:before="200"/>
      </w:pPr>
      <w:r>
        <w:t>The</w:t>
      </w:r>
      <w:r w:rsidRPr="00CC1FDF">
        <w:t xml:space="preserve"> workshop</w:t>
      </w:r>
      <w:r>
        <w:t xml:space="preserve"> focused on improving timeliness of managing notifications</w:t>
      </w:r>
      <w:r w:rsidRPr="00CC1FDF">
        <w:t xml:space="preserve"> in </w:t>
      </w:r>
      <w:r>
        <w:t>an environment</w:t>
      </w:r>
      <w:r w:rsidRPr="00CC1FDF">
        <w:t xml:space="preserve"> whe</w:t>
      </w:r>
      <w:r>
        <w:t>re</w:t>
      </w:r>
      <w:r w:rsidRPr="00CC1FDF">
        <w:t xml:space="preserve"> notification </w:t>
      </w:r>
      <w:r>
        <w:t>numbers are increasing. It also focused on the experience of practitioners who have a notification</w:t>
      </w:r>
      <w:r w:rsidRPr="00CC1FDF">
        <w:t xml:space="preserve"> made about them. </w:t>
      </w:r>
      <w:r>
        <w:t>The AMA provided very clear advice to the MBA and AHPRA about the impacts of notifications to individual practitioners.</w:t>
      </w:r>
    </w:p>
    <w:p w:rsidR="008A374B" w:rsidRPr="00CC1FDF" w:rsidRDefault="008A374B" w:rsidP="008A374B">
      <w:pPr>
        <w:pStyle w:val="AHPRAbody"/>
        <w:spacing w:before="200"/>
      </w:pPr>
      <w:r>
        <w:t xml:space="preserve">The MBA was represented by </w:t>
      </w:r>
      <w:r w:rsidRPr="00CC1FDF">
        <w:t xml:space="preserve">Dr Joanna Flynn, Chair of the </w:t>
      </w:r>
      <w:r>
        <w:t>MBA</w:t>
      </w:r>
      <w:r w:rsidRPr="00CC1FDF">
        <w:t xml:space="preserve">, Dr Peter Dohrmann, Chair of the Victorian Board of the </w:t>
      </w:r>
      <w:r>
        <w:t>MBA and</w:t>
      </w:r>
      <w:r w:rsidRPr="00CC1FDF">
        <w:t xml:space="preserve"> Professor Anne Tonkin, Chair of the South Australian Board and </w:t>
      </w:r>
      <w:r>
        <w:t>member</w:t>
      </w:r>
      <w:r w:rsidRPr="00CC1FDF">
        <w:t xml:space="preserve"> of the National Board</w:t>
      </w:r>
      <w:r>
        <w:t>. AHPRA was represented by</w:t>
      </w:r>
      <w:r w:rsidRPr="00CC1FDF">
        <w:t xml:space="preserve"> Martin Fletcher, CEO of AHPRA</w:t>
      </w:r>
      <w:r>
        <w:t xml:space="preserve">, Kym Ayscough, Executive Director – Regulatory Operations, Matthew Hardy, National Director of Notifications and other </w:t>
      </w:r>
      <w:r w:rsidRPr="00CC1FDF">
        <w:t xml:space="preserve">senior AHPRA staff.  </w:t>
      </w:r>
    </w:p>
    <w:p w:rsidR="008A374B" w:rsidRDefault="008A374B" w:rsidP="008A374B">
      <w:pPr>
        <w:pStyle w:val="AHPRAbody"/>
        <w:spacing w:before="200"/>
      </w:pPr>
      <w:r w:rsidRPr="00CC1FDF">
        <w:t xml:space="preserve">The AMA </w:t>
      </w:r>
      <w:r>
        <w:t>was represented by</w:t>
      </w:r>
      <w:r w:rsidRPr="00CC1FDF">
        <w:t xml:space="preserve"> Dr Tony Bartone, Vice President, Dr Stuart Day, President AMA Tasmania, Dr Antonio Di Dio Vice President, AMA ACT</w:t>
      </w:r>
      <w:r>
        <w:t xml:space="preserve">, </w:t>
      </w:r>
      <w:r w:rsidRPr="00CC1FDF">
        <w:t>Dr Kunal Luthra, AMA Victoria</w:t>
      </w:r>
      <w:r>
        <w:t xml:space="preserve"> and </w:t>
      </w:r>
      <w:r w:rsidRPr="00CC1FDF">
        <w:t>Luke Toy and Jodette Kotz from the secretariat.</w:t>
      </w:r>
    </w:p>
    <w:p w:rsidR="008A374B" w:rsidRPr="00CC1FDF" w:rsidRDefault="008A374B" w:rsidP="008A374B">
      <w:pPr>
        <w:pStyle w:val="AHPRAbody"/>
        <w:spacing w:before="200"/>
      </w:pPr>
      <w:r>
        <w:t xml:space="preserve">Participants acknowledged </w:t>
      </w:r>
      <w:r w:rsidRPr="00CC1FDF">
        <w:t xml:space="preserve">that the notifications system has </w:t>
      </w:r>
      <w:r>
        <w:t xml:space="preserve">an important role </w:t>
      </w:r>
      <w:r w:rsidRPr="00CC1FDF">
        <w:t xml:space="preserve">in protecting the public and </w:t>
      </w:r>
      <w:r>
        <w:t>in promoting</w:t>
      </w:r>
      <w:r w:rsidRPr="00CC1FDF">
        <w:t xml:space="preserve"> confidence in the medical profession. All participants valued the opportunity to contribute to strengthening this system. </w:t>
      </w:r>
    </w:p>
    <w:p w:rsidR="008A374B" w:rsidRPr="00CC1FDF" w:rsidRDefault="008A374B" w:rsidP="008A374B">
      <w:pPr>
        <w:pStyle w:val="AHPRAbody"/>
        <w:spacing w:before="200"/>
      </w:pPr>
      <w:r w:rsidRPr="00CC1FDF">
        <w:t xml:space="preserve">The </w:t>
      </w:r>
      <w:r>
        <w:t>AMA was pleased to learn about significant improvements that have been made</w:t>
      </w:r>
      <w:r w:rsidRPr="00CC1FDF">
        <w:t xml:space="preserve"> in </w:t>
      </w:r>
      <w:r>
        <w:t>managing notifications, including improved</w:t>
      </w:r>
      <w:r w:rsidRPr="00CC1FDF">
        <w:t xml:space="preserve"> timeliness and </w:t>
      </w:r>
      <w:r>
        <w:t>improved communication with practitioners. The AMA</w:t>
      </w:r>
      <w:r w:rsidRPr="00CC1FDF">
        <w:t xml:space="preserve"> acknowledged the </w:t>
      </w:r>
      <w:r>
        <w:t xml:space="preserve">willingness of the MBA and AHPRA to respond to the concerns previously expressed by the AMA. One of the initiatives </w:t>
      </w:r>
      <w:r w:rsidRPr="00CC1FDF">
        <w:t xml:space="preserve">in the </w:t>
      </w:r>
      <w:r>
        <w:t xml:space="preserve">past year was the </w:t>
      </w:r>
      <w:r w:rsidRPr="00CC1FDF">
        <w:t xml:space="preserve">introduction of </w:t>
      </w:r>
      <w:r>
        <w:t>an ongoing</w:t>
      </w:r>
      <w:r w:rsidRPr="00CC1FDF">
        <w:t xml:space="preserve"> survey of notifiers </w:t>
      </w:r>
      <w:r>
        <w:t xml:space="preserve">and practitioners who have been the subject of a </w:t>
      </w:r>
      <w:r w:rsidRPr="00CC1FDF">
        <w:t>notification</w:t>
      </w:r>
      <w:r>
        <w:t>. While there have been significant improvements to date, the survey highlighted areas for ongoing focus.</w:t>
      </w:r>
    </w:p>
    <w:p w:rsidR="008A374B" w:rsidRPr="00CC1FDF" w:rsidRDefault="008A374B" w:rsidP="008A374B">
      <w:pPr>
        <w:pStyle w:val="AHPRASubheading"/>
      </w:pPr>
      <w:r w:rsidRPr="00CC1FDF">
        <w:t xml:space="preserve">Timeliness </w:t>
      </w:r>
      <w:r>
        <w:t>of dealing with notifications</w:t>
      </w:r>
    </w:p>
    <w:p w:rsidR="008A374B" w:rsidRPr="00CC1FDF" w:rsidRDefault="008A374B" w:rsidP="008A374B">
      <w:pPr>
        <w:pStyle w:val="AHPRAbody"/>
        <w:spacing w:before="200"/>
      </w:pPr>
      <w:r>
        <w:t>Despite</w:t>
      </w:r>
      <w:r w:rsidRPr="00CC1FDF">
        <w:t xml:space="preserve"> an </w:t>
      </w:r>
      <w:r>
        <w:t xml:space="preserve">18 per cent </w:t>
      </w:r>
      <w:r w:rsidRPr="00CC1FDF">
        <w:t xml:space="preserve">increase in notifications </w:t>
      </w:r>
      <w:r>
        <w:t>received to the end of Quarter 3 of 2016-17 compared with 2015-16</w:t>
      </w:r>
      <w:r w:rsidRPr="00CC1FDF">
        <w:t xml:space="preserve">, there were significant improvements in the completion rates of cases with an increase of 34 per cent over the past 12 months. A key focus has been reducing the timeframes at the assessment and investigation stages. This work has resulted in a reduction of </w:t>
      </w:r>
      <w:r>
        <w:t xml:space="preserve">the average </w:t>
      </w:r>
      <w:r w:rsidRPr="00CC1FDF">
        <w:t xml:space="preserve">time a case spends in assessment from 60 days to 45 days, and a reduction in </w:t>
      </w:r>
      <w:r>
        <w:t xml:space="preserve">the average </w:t>
      </w:r>
      <w:r w:rsidRPr="00CC1FDF">
        <w:t>time a case spends at the investigation stage from 328 to 298 days, over the last 12 months. Reducing the time taken to complete this work remains a key focus of the workshop</w:t>
      </w:r>
      <w:r>
        <w:t xml:space="preserve"> and of AHPRA’s improvement strategies</w:t>
      </w:r>
      <w:r w:rsidRPr="00CC1FDF">
        <w:t>.</w:t>
      </w:r>
    </w:p>
    <w:p w:rsidR="008A374B" w:rsidRPr="00CC1FDF" w:rsidRDefault="008A374B" w:rsidP="008A374B">
      <w:pPr>
        <w:pStyle w:val="AHPRAbody"/>
        <w:spacing w:before="200"/>
      </w:pPr>
      <w:r>
        <w:lastRenderedPageBreak/>
        <w:t>While</w:t>
      </w:r>
      <w:r w:rsidRPr="00CC1FDF">
        <w:t xml:space="preserve"> there were many initiatives that have contributed positively to this reduction, two major pilot programs appeared to provide an opportunity to streamline the system significantly. </w:t>
      </w:r>
      <w:r>
        <w:t>These pilots are:</w:t>
      </w:r>
    </w:p>
    <w:p w:rsidR="008A374B" w:rsidRDefault="008A374B" w:rsidP="008A374B">
      <w:pPr>
        <w:pStyle w:val="AHPRAbody"/>
        <w:numPr>
          <w:ilvl w:val="0"/>
          <w:numId w:val="10"/>
        </w:numPr>
        <w:spacing w:before="200"/>
        <w:rPr>
          <w:rFonts w:eastAsia="Arial"/>
        </w:rPr>
      </w:pPr>
      <w:r>
        <w:t>The triage pilot that started in South Australia and is now being used to help manage large numbers of notifications in Queensland. The triage process involves a Committee assessing a notification within days of it being received. The Committee decide whether it can be closed early or whether additional information is necessary. They also provide early clinical input to support a streamlined investigation. The triage process has resulted in a 33-day reduction in average assessment time frames in Queensland.</w:t>
      </w:r>
    </w:p>
    <w:p w:rsidR="008A374B" w:rsidRDefault="008A374B" w:rsidP="008A374B">
      <w:pPr>
        <w:pStyle w:val="AHPRAbody"/>
        <w:numPr>
          <w:ilvl w:val="0"/>
          <w:numId w:val="10"/>
        </w:numPr>
        <w:spacing w:before="200"/>
        <w:rPr>
          <w:rFonts w:eastAsia="Arial"/>
        </w:rPr>
      </w:pPr>
      <w:r>
        <w:t xml:space="preserve">Early clinical discussion where a practitioner who is facing an allegation of unsatisfactory performance is invited to discuss the notification with a medical practitioner employed by AHPRA. The practitioner is accompanied by a representative of their professional indemnity insurer.  The early data indicates that it is a helpful intervention as it allows the practitioner to explain the circumstances of the notification to another medical practitioner, which can ultimately improve a Board’s understanding of the issues raised in a notification. Potentially, it will reduce incidences of prolonged investigation. </w:t>
      </w:r>
    </w:p>
    <w:p w:rsidR="008A374B" w:rsidRDefault="008A374B" w:rsidP="008A374B">
      <w:pPr>
        <w:pStyle w:val="AHPRAbody"/>
        <w:spacing w:before="200"/>
        <w:rPr>
          <w:rFonts w:eastAsia="Arial"/>
        </w:rPr>
      </w:pPr>
      <w:r>
        <w:t>Workshop participants were impressed by the early data on both these approaches and will be keen to learn of further progress with these initiatives.</w:t>
      </w:r>
    </w:p>
    <w:p w:rsidR="008A374B" w:rsidRDefault="008A374B" w:rsidP="008A374B">
      <w:pPr>
        <w:pStyle w:val="AHPRASubheading"/>
        <w:rPr>
          <w:rFonts w:eastAsia="Arial"/>
        </w:rPr>
      </w:pPr>
      <w:r>
        <w:t>The impact of notifications on practitioners</w:t>
      </w:r>
    </w:p>
    <w:p w:rsidR="008A374B" w:rsidRPr="00CC1FDF" w:rsidRDefault="008A374B" w:rsidP="008A374B">
      <w:pPr>
        <w:pStyle w:val="AHPRAbody"/>
        <w:spacing w:before="200"/>
      </w:pPr>
      <w:r>
        <w:t xml:space="preserve">The MBA and AHPRA acknowledged that despite the fact that </w:t>
      </w:r>
      <w:r w:rsidRPr="00CC1FDF">
        <w:t>around 70</w:t>
      </w:r>
      <w:r>
        <w:t xml:space="preserve"> per cent</w:t>
      </w:r>
      <w:r w:rsidRPr="00CC1FDF">
        <w:t xml:space="preserve"> of notifications result in no </w:t>
      </w:r>
      <w:r>
        <w:t>regulatory</w:t>
      </w:r>
      <w:r w:rsidRPr="00CC1FDF">
        <w:t xml:space="preserve"> action</w:t>
      </w:r>
      <w:r>
        <w:t>, many</w:t>
      </w:r>
      <w:r w:rsidRPr="00CC1FDF">
        <w:t xml:space="preserve"> practitioners </w:t>
      </w:r>
      <w:r>
        <w:t xml:space="preserve">regard being the subject of a notification as a catastrophic event.  </w:t>
      </w:r>
    </w:p>
    <w:p w:rsidR="008A374B" w:rsidRDefault="008A374B" w:rsidP="008A374B">
      <w:pPr>
        <w:pStyle w:val="AHPRAbody"/>
        <w:spacing w:before="200"/>
        <w:rPr>
          <w:rFonts w:eastAsia="Arial"/>
        </w:rPr>
      </w:pPr>
      <w:r>
        <w:t>The potential impact of notifications on junior doctors was particularly profound. The</w:t>
      </w:r>
      <w:r w:rsidRPr="00CC1FDF">
        <w:t xml:space="preserve"> Doctors in Training cohort view a notification as a very serious event. </w:t>
      </w:r>
      <w:r>
        <w:t xml:space="preserve">They are concerned about the impact of a notification on their career. </w:t>
      </w:r>
      <w:r w:rsidRPr="00CC1FDF">
        <w:t xml:space="preserve">Prospective employers </w:t>
      </w:r>
      <w:r>
        <w:t xml:space="preserve">regularly request details about any history of notifications, even if no regulatory action was taken. Concerns have also been expressed that junior doctors may not seek help when they </w:t>
      </w:r>
      <w:r w:rsidRPr="00CC1FDF">
        <w:t xml:space="preserve">are </w:t>
      </w:r>
      <w:r>
        <w:t>in difficulty because they fear that a mandatory report will be made</w:t>
      </w:r>
      <w:r w:rsidRPr="00CC1FDF">
        <w:t xml:space="preserve"> to </w:t>
      </w:r>
      <w:r>
        <w:t>the MBA.</w:t>
      </w:r>
    </w:p>
    <w:p w:rsidR="008A374B" w:rsidRPr="00CC1FDF" w:rsidRDefault="008A374B" w:rsidP="008A374B">
      <w:pPr>
        <w:pStyle w:val="AHPRAbody"/>
        <w:spacing w:before="200"/>
      </w:pPr>
      <w:r>
        <w:t>Participants acknowledged</w:t>
      </w:r>
      <w:r w:rsidRPr="00CC1FDF">
        <w:t xml:space="preserve"> that practitioners </w:t>
      </w:r>
      <w:r>
        <w:t xml:space="preserve">were concerned about </w:t>
      </w:r>
      <w:r w:rsidRPr="00CC1FDF">
        <w:t>mandatory notifications and vexatious complaints</w:t>
      </w:r>
      <w:r>
        <w:t>. AHPRA and the MBA advised that their evidence does not support a view that mandatory notifications were being made inappropriately. The AMA remained concerned that the mandatory notification provisions were dissuading practitioners from seeking help when needed for fear of the ramifications. The number of clearly vexatious complaints is very, very small. AHPRA and the Board have committed to commissioning further research on this issue</w:t>
      </w:r>
      <w:r w:rsidRPr="00CC1FDF">
        <w:t>.</w:t>
      </w:r>
    </w:p>
    <w:p w:rsidR="008A374B" w:rsidRPr="00CC1FDF" w:rsidRDefault="008A374B" w:rsidP="008A374B">
      <w:pPr>
        <w:pStyle w:val="AHPRAbody"/>
        <w:spacing w:before="200"/>
      </w:pPr>
      <w:r>
        <w:t>The</w:t>
      </w:r>
      <w:r w:rsidRPr="00CC1FDF">
        <w:t xml:space="preserve"> workshop </w:t>
      </w:r>
      <w:r>
        <w:t>also explored</w:t>
      </w:r>
      <w:r w:rsidRPr="00CC1FDF">
        <w:t xml:space="preserve"> the implications of </w:t>
      </w:r>
      <w:r>
        <w:t>the Board issuing</w:t>
      </w:r>
      <w:r w:rsidRPr="00CC1FDF">
        <w:t xml:space="preserve"> a caution </w:t>
      </w:r>
      <w:r>
        <w:t>to a practitioner. Cautions are</w:t>
      </w:r>
      <w:r w:rsidRPr="00CC1FDF">
        <w:t xml:space="preserve"> not listed on the Register</w:t>
      </w:r>
      <w:r>
        <w:t xml:space="preserve"> of medical practitioners but employers are informed about them at conclusion of the notification and ask about whether their employees have been subject to regulatory action. Therefore, the caution can become public in the sense that the employer is aware of it and can impact on the future employment of medical practitioners. The impact on practitioners who are in an employment arrangement is much greater than for those working only in private practice.</w:t>
      </w:r>
      <w:r w:rsidRPr="00CC1FDF">
        <w:t xml:space="preserve"> It was agreed that the policy intent behind the use of </w:t>
      </w:r>
      <w:r>
        <w:t>cautions</w:t>
      </w:r>
      <w:r w:rsidRPr="00CC1FDF">
        <w:t xml:space="preserve"> did not </w:t>
      </w:r>
      <w:r>
        <w:t xml:space="preserve">anticipate this consequence. AHPRA and the MBA agreed to explore how cautions are applied. </w:t>
      </w:r>
    </w:p>
    <w:p w:rsidR="008A374B" w:rsidRPr="00CC1FDF" w:rsidRDefault="008A374B" w:rsidP="008A374B">
      <w:pPr>
        <w:pStyle w:val="AHPRAbody"/>
        <w:spacing w:before="200"/>
      </w:pPr>
      <w:r w:rsidRPr="00CC1FDF">
        <w:t xml:space="preserve">All parties agreed that there needs to be a focus on the mental wellbeing of practitioners, </w:t>
      </w:r>
      <w:r>
        <w:t>including when they are the subject of</w:t>
      </w:r>
      <w:r w:rsidRPr="00CC1FDF">
        <w:t xml:space="preserve"> a notification.  </w:t>
      </w:r>
    </w:p>
    <w:p w:rsidR="008A374B" w:rsidRPr="00CC1FDF" w:rsidRDefault="008A374B" w:rsidP="008A374B">
      <w:pPr>
        <w:pStyle w:val="AHPRASubheading"/>
      </w:pPr>
      <w:r w:rsidRPr="00CC1FDF">
        <w:t>Feedback from practitioners</w:t>
      </w:r>
    </w:p>
    <w:p w:rsidR="008A374B" w:rsidRPr="00CC1FDF" w:rsidRDefault="008A374B" w:rsidP="008A374B">
      <w:pPr>
        <w:pStyle w:val="AHPRAbody"/>
        <w:spacing w:before="200"/>
      </w:pPr>
      <w:r w:rsidRPr="00CC1FDF">
        <w:t xml:space="preserve">AHPRA presented information from their survey into the notifications experience. The results provided clear opportunities for AHPRA and the </w:t>
      </w:r>
      <w:r>
        <w:t>MBA to improve engagement with practitioners.</w:t>
      </w:r>
      <w:r w:rsidRPr="00CC1FDF">
        <w:t xml:space="preserve"> The vast majority of respondents felt that they understood the outcome and the reasons for the </w:t>
      </w:r>
      <w:r>
        <w:t>MBA</w:t>
      </w:r>
      <w:r w:rsidRPr="00CC1FDF">
        <w:t xml:space="preserve">’s decision, however many respondents did not feel that they were regularly updated on the progress of their notification. AHPRA has agreed to review how </w:t>
      </w:r>
      <w:r>
        <w:t xml:space="preserve">and how </w:t>
      </w:r>
      <w:r w:rsidRPr="00CC1FDF">
        <w:t xml:space="preserve">often they update a practitioner. </w:t>
      </w:r>
    </w:p>
    <w:p w:rsidR="008A374B" w:rsidRPr="00CC1FDF" w:rsidRDefault="008A374B" w:rsidP="008A374B">
      <w:pPr>
        <w:pStyle w:val="AHPRAbody"/>
        <w:spacing w:before="200"/>
      </w:pPr>
      <w:r w:rsidRPr="00CC1FDF">
        <w:lastRenderedPageBreak/>
        <w:t xml:space="preserve">On a pleasing note, a large majority of practitioners agreed that they were satisfied with the outcome of their notification. </w:t>
      </w:r>
    </w:p>
    <w:p w:rsidR="008A374B" w:rsidRPr="00CC1FDF" w:rsidRDefault="008A374B" w:rsidP="008A374B">
      <w:pPr>
        <w:pStyle w:val="AHPRASubheading"/>
      </w:pPr>
      <w:r w:rsidRPr="00CC1FDF">
        <w:t>Summary</w:t>
      </w:r>
    </w:p>
    <w:p w:rsidR="008A374B" w:rsidRDefault="008A374B" w:rsidP="008A374B">
      <w:pPr>
        <w:pStyle w:val="AHPRAbody"/>
        <w:spacing w:before="200"/>
        <w:rPr>
          <w:rFonts w:eastAsia="Arial"/>
        </w:rPr>
      </w:pPr>
      <w:r>
        <w:t>The AMA commended the MBA and AHPRA on their willingness to listen to concerns and take action. There have been many initiatives over the past 12 months that have contributed to reducing time frames for notifications although more still needs to be done.</w:t>
      </w:r>
    </w:p>
    <w:p w:rsidR="008A374B" w:rsidRPr="00CC1FDF" w:rsidRDefault="008A374B" w:rsidP="008A374B">
      <w:pPr>
        <w:pStyle w:val="AHPRAbody"/>
        <w:spacing w:before="200"/>
      </w:pPr>
      <w:r w:rsidRPr="00CC1FDF">
        <w:t xml:space="preserve">The group </w:t>
      </w:r>
      <w:r>
        <w:t>concluded</w:t>
      </w:r>
      <w:r w:rsidRPr="00CC1FDF">
        <w:t xml:space="preserve"> that it is valuable to review </w:t>
      </w:r>
      <w:r>
        <w:t xml:space="preserve">and reflect on </w:t>
      </w:r>
      <w:r w:rsidRPr="00CC1FDF">
        <w:t>the progress made so far and</w:t>
      </w:r>
      <w:r>
        <w:t xml:space="preserve"> to continue</w:t>
      </w:r>
      <w:r w:rsidRPr="00CC1FDF">
        <w:t xml:space="preserve"> to robustly discuss options and opportunities to improve the notifications system.</w:t>
      </w:r>
    </w:p>
    <w:p w:rsidR="00D56891" w:rsidRPr="008A374B" w:rsidRDefault="008A374B" w:rsidP="008A374B">
      <w:pPr>
        <w:pStyle w:val="AHPRAbody"/>
        <w:spacing w:before="200"/>
        <w:rPr>
          <w:rStyle w:val="AHPRAbodyitalicsChar"/>
          <w:b w:val="0"/>
          <w:i w:val="0"/>
        </w:rPr>
      </w:pPr>
      <w:r w:rsidRPr="00CC1FDF">
        <w:t xml:space="preserve">The group agreed to hold another workshop in 12 months, </w:t>
      </w:r>
      <w:r>
        <w:t>and</w:t>
      </w:r>
      <w:r w:rsidRPr="00CC1FDF">
        <w:t xml:space="preserve"> to include updates of progress on the current work in the </w:t>
      </w:r>
      <w:r>
        <w:t xml:space="preserve">regular </w:t>
      </w:r>
      <w:r w:rsidRPr="00CC1FDF">
        <w:t>AMA/MBA/AHPRA meetings.</w:t>
      </w:r>
    </w:p>
    <w:p w:rsidR="00D56891" w:rsidRDefault="00D56891" w:rsidP="00D56891">
      <w:pPr>
        <w:pStyle w:val="AHPRABulletlevel1"/>
        <w:numPr>
          <w:ilvl w:val="0"/>
          <w:numId w:val="0"/>
        </w:numPr>
        <w:ind w:left="369" w:hanging="369"/>
        <w:rPr>
          <w:rStyle w:val="AHPRAbodyitalicsChar"/>
          <w:rFonts w:cs="Times New Roman"/>
          <w:b w:val="0"/>
          <w:i w:val="0"/>
        </w:rPr>
      </w:pPr>
    </w:p>
    <w:p w:rsidR="00D56891" w:rsidRDefault="00D56891" w:rsidP="00D56891">
      <w:pPr>
        <w:pStyle w:val="AHPRABulletlevel1"/>
        <w:numPr>
          <w:ilvl w:val="0"/>
          <w:numId w:val="0"/>
        </w:numPr>
        <w:ind w:left="369" w:hanging="369"/>
        <w:rPr>
          <w:rStyle w:val="AHPRAbodyitalicsChar"/>
          <w:rFonts w:cs="Times New Roman"/>
          <w:b w:val="0"/>
          <w:i w:val="0"/>
        </w:rPr>
      </w:pPr>
    </w:p>
    <w:p w:rsidR="00D56891" w:rsidRPr="00D56891" w:rsidRDefault="00D56891" w:rsidP="00D56891">
      <w:pPr>
        <w:pStyle w:val="AHPRABulletlevel1"/>
        <w:numPr>
          <w:ilvl w:val="0"/>
          <w:numId w:val="0"/>
        </w:numPr>
        <w:ind w:left="369" w:hanging="369"/>
      </w:pPr>
    </w:p>
    <w:sectPr w:rsidR="00D56891" w:rsidRPr="00D56891" w:rsidSect="008A374B">
      <w:headerReference w:type="default" r:id="rId8"/>
      <w:footerReference w:type="even" r:id="rId9"/>
      <w:footerReference w:type="default" r:id="rId10"/>
      <w:headerReference w:type="first" r:id="rId11"/>
      <w:footerReference w:type="first" r:id="rId12"/>
      <w:pgSz w:w="11900" w:h="16840"/>
      <w:pgMar w:top="1440" w:right="1440" w:bottom="1440" w:left="1440" w:header="283"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74B" w:rsidRDefault="008A374B" w:rsidP="00FC2881">
      <w:pPr>
        <w:spacing w:after="0"/>
      </w:pPr>
      <w:r>
        <w:separator/>
      </w:r>
    </w:p>
    <w:p w:rsidR="008A374B" w:rsidRDefault="008A374B"/>
  </w:endnote>
  <w:endnote w:type="continuationSeparator" w:id="0">
    <w:p w:rsidR="008A374B" w:rsidRDefault="008A374B" w:rsidP="00FC2881">
      <w:pPr>
        <w:spacing w:after="0"/>
      </w:pPr>
      <w:r>
        <w:continuationSeparator/>
      </w:r>
    </w:p>
    <w:p w:rsidR="008A374B" w:rsidRDefault="008A3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F7" w:rsidRDefault="008D50AF" w:rsidP="00FC2881">
    <w:pPr>
      <w:pStyle w:val="Footer"/>
      <w:framePr w:wrap="around" w:vAnchor="text" w:hAnchor="margin" w:xAlign="right" w:y="1"/>
    </w:pPr>
    <w:r>
      <w:fldChar w:fldCharType="begin"/>
    </w:r>
    <w:r w:rsidR="000A6BF7">
      <w:instrText xml:space="preserve">PAGE  </w:instrText>
    </w:r>
    <w:r>
      <w:fldChar w:fldCharType="end"/>
    </w:r>
  </w:p>
  <w:p w:rsidR="000A6BF7" w:rsidRDefault="000A6BF7" w:rsidP="00FC2881">
    <w:pPr>
      <w:pStyle w:val="Footer"/>
      <w:ind w:right="360"/>
    </w:pPr>
  </w:p>
  <w:p w:rsidR="000A6BF7" w:rsidRDefault="000A6B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891" w:rsidRDefault="007664F3" w:rsidP="00D56891">
    <w:pPr>
      <w:pStyle w:val="AHPRAbody"/>
      <w:spacing w:after="100"/>
      <w:jc w:val="center"/>
      <w:rPr>
        <w:b/>
        <w:color w:val="424342"/>
      </w:rPr>
    </w:pPr>
    <w:r>
      <w:tab/>
    </w:r>
  </w:p>
  <w:p w:rsidR="00D56891" w:rsidRPr="006A77BF" w:rsidRDefault="00D56891" w:rsidP="00D56891">
    <w:pPr>
      <w:pStyle w:val="Footer"/>
      <w:framePr w:h="391" w:hRule="exact" w:wrap="notBeside" w:vAnchor="page" w:hAnchor="page" w:x="10918" w:y="15444"/>
      <w:rPr>
        <w:rFonts w:cs="Arial"/>
        <w:color w:val="008EC4"/>
        <w:sz w:val="20"/>
      </w:rPr>
    </w:pPr>
    <w:r w:rsidRPr="006A77BF">
      <w:rPr>
        <w:rFonts w:cs="Arial"/>
        <w:color w:val="008EC4"/>
        <w:sz w:val="20"/>
      </w:rPr>
      <w:fldChar w:fldCharType="begin"/>
    </w:r>
    <w:r w:rsidRPr="006A77BF">
      <w:rPr>
        <w:rFonts w:cs="Arial"/>
        <w:color w:val="008EC4"/>
        <w:sz w:val="20"/>
      </w:rPr>
      <w:instrText xml:space="preserve">PAGE  </w:instrText>
    </w:r>
    <w:r w:rsidRPr="006A77BF">
      <w:rPr>
        <w:rFonts w:cs="Arial"/>
        <w:color w:val="008EC4"/>
        <w:sz w:val="20"/>
      </w:rPr>
      <w:fldChar w:fldCharType="separate"/>
    </w:r>
    <w:r w:rsidR="009E0E43">
      <w:rPr>
        <w:rFonts w:cs="Arial"/>
        <w:noProof/>
        <w:color w:val="008EC4"/>
        <w:sz w:val="20"/>
      </w:rPr>
      <w:t>2</w:t>
    </w:r>
    <w:r w:rsidRPr="006A77BF">
      <w:rPr>
        <w:rFonts w:cs="Arial"/>
        <w:color w:val="008EC4"/>
        <w:sz w:val="20"/>
      </w:rPr>
      <w:fldChar w:fldCharType="end"/>
    </w:r>
  </w:p>
  <w:p w:rsidR="00D56891" w:rsidRPr="008A374B" w:rsidRDefault="00D56891" w:rsidP="00D56891">
    <w:pPr>
      <w:pStyle w:val="AHPRAbody"/>
      <w:spacing w:after="100"/>
      <w:jc w:val="center"/>
      <w:rPr>
        <w:b/>
        <w:color w:val="008EC4"/>
        <w:sz w:val="18"/>
      </w:rPr>
    </w:pPr>
    <w:r w:rsidRPr="008A374B">
      <w:rPr>
        <w:b/>
        <w:color w:val="424342"/>
        <w:sz w:val="18"/>
      </w:rPr>
      <w:t>Australian</w:t>
    </w:r>
    <w:r w:rsidRPr="008A374B">
      <w:rPr>
        <w:b/>
        <w:color w:val="008EC4"/>
        <w:sz w:val="18"/>
      </w:rPr>
      <w:t xml:space="preserve"> Health Practitioner </w:t>
    </w:r>
    <w:r w:rsidRPr="008A374B">
      <w:rPr>
        <w:b/>
        <w:color w:val="424342"/>
        <w:sz w:val="18"/>
      </w:rPr>
      <w:t>Regulation Agency</w:t>
    </w:r>
  </w:p>
  <w:p w:rsidR="000A6BF7" w:rsidRPr="008A374B" w:rsidRDefault="00D56891" w:rsidP="00D56891">
    <w:pPr>
      <w:pStyle w:val="AHPRAbody"/>
      <w:tabs>
        <w:tab w:val="center" w:pos="4749"/>
      </w:tabs>
      <w:jc w:val="center"/>
      <w:rPr>
        <w:sz w:val="18"/>
      </w:rPr>
    </w:pPr>
    <w:r w:rsidRPr="008A374B">
      <w:rPr>
        <w:sz w:val="18"/>
      </w:rPr>
      <w:t xml:space="preserve">G.P.O. Box 9958   </w:t>
    </w:r>
    <w:r w:rsidRPr="008A374B">
      <w:rPr>
        <w:b/>
        <w:color w:val="008EC4"/>
        <w:sz w:val="18"/>
      </w:rPr>
      <w:t>|</w:t>
    </w:r>
    <w:r w:rsidRPr="008A374B">
      <w:rPr>
        <w:sz w:val="18"/>
      </w:rPr>
      <w:t xml:space="preserve">   Melbourne VIC 3001   </w:t>
    </w:r>
    <w:r w:rsidRPr="008A374B">
      <w:rPr>
        <w:b/>
        <w:color w:val="008EC4"/>
        <w:sz w:val="18"/>
      </w:rPr>
      <w:t>|</w:t>
    </w:r>
    <w:r w:rsidRPr="008A374B">
      <w:rPr>
        <w:sz w:val="18"/>
      </w:rPr>
      <w:t xml:space="preserve">   www.ahpra.gov.au</w:t>
    </w:r>
  </w:p>
  <w:p w:rsidR="000A6BF7" w:rsidRPr="008A374B" w:rsidRDefault="000A6BF7">
    <w:pPr>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891" w:rsidRPr="006A77BF" w:rsidRDefault="00D56891" w:rsidP="00D56891">
    <w:pPr>
      <w:pStyle w:val="Footer"/>
      <w:framePr w:h="391" w:hRule="exact" w:wrap="notBeside" w:vAnchor="page" w:hAnchor="page" w:x="10918" w:y="15444"/>
      <w:rPr>
        <w:rFonts w:cs="Arial"/>
        <w:color w:val="008EC4"/>
        <w:sz w:val="20"/>
      </w:rPr>
    </w:pPr>
    <w:r w:rsidRPr="006A77BF">
      <w:rPr>
        <w:rFonts w:cs="Arial"/>
        <w:color w:val="008EC4"/>
        <w:sz w:val="20"/>
      </w:rPr>
      <w:fldChar w:fldCharType="begin"/>
    </w:r>
    <w:r w:rsidRPr="006A77BF">
      <w:rPr>
        <w:rFonts w:cs="Arial"/>
        <w:color w:val="008EC4"/>
        <w:sz w:val="20"/>
      </w:rPr>
      <w:instrText xml:space="preserve">PAGE  </w:instrText>
    </w:r>
    <w:r w:rsidRPr="006A77BF">
      <w:rPr>
        <w:rFonts w:cs="Arial"/>
        <w:color w:val="008EC4"/>
        <w:sz w:val="20"/>
      </w:rPr>
      <w:fldChar w:fldCharType="separate"/>
    </w:r>
    <w:r w:rsidR="009E0E43">
      <w:rPr>
        <w:rFonts w:cs="Arial"/>
        <w:noProof/>
        <w:color w:val="008EC4"/>
        <w:sz w:val="20"/>
      </w:rPr>
      <w:t>1</w:t>
    </w:r>
    <w:r w:rsidRPr="006A77BF">
      <w:rPr>
        <w:rFonts w:cs="Arial"/>
        <w:color w:val="008EC4"/>
        <w:sz w:val="20"/>
      </w:rPr>
      <w:fldChar w:fldCharType="end"/>
    </w:r>
  </w:p>
  <w:p w:rsidR="00D56891" w:rsidRDefault="00D56891" w:rsidP="00D56891">
    <w:pPr>
      <w:pStyle w:val="AHPRAbody"/>
      <w:spacing w:after="100"/>
      <w:jc w:val="center"/>
      <w:rPr>
        <w:b/>
        <w:color w:val="424342"/>
      </w:rPr>
    </w:pPr>
  </w:p>
  <w:p w:rsidR="00D56891" w:rsidRPr="008A374B" w:rsidRDefault="00D56891" w:rsidP="00D56891">
    <w:pPr>
      <w:pStyle w:val="AHPRAbody"/>
      <w:spacing w:after="100"/>
      <w:jc w:val="center"/>
      <w:rPr>
        <w:b/>
        <w:color w:val="008EC4"/>
        <w:sz w:val="18"/>
      </w:rPr>
    </w:pPr>
    <w:r w:rsidRPr="008A374B">
      <w:rPr>
        <w:b/>
        <w:color w:val="424342"/>
        <w:sz w:val="18"/>
      </w:rPr>
      <w:t>Australian</w:t>
    </w:r>
    <w:r w:rsidRPr="008A374B">
      <w:rPr>
        <w:b/>
        <w:color w:val="008EC4"/>
        <w:sz w:val="18"/>
      </w:rPr>
      <w:t xml:space="preserve"> Health Practitioner </w:t>
    </w:r>
    <w:r w:rsidRPr="008A374B">
      <w:rPr>
        <w:b/>
        <w:color w:val="424342"/>
        <w:sz w:val="18"/>
      </w:rPr>
      <w:t>Regulation Agency</w:t>
    </w:r>
  </w:p>
  <w:p w:rsidR="00D56891" w:rsidRPr="008A374B" w:rsidRDefault="00D56891" w:rsidP="00D56891">
    <w:pPr>
      <w:pStyle w:val="AHPRAbody"/>
      <w:tabs>
        <w:tab w:val="center" w:pos="4749"/>
      </w:tabs>
      <w:jc w:val="center"/>
      <w:rPr>
        <w:sz w:val="18"/>
      </w:rPr>
    </w:pPr>
    <w:r w:rsidRPr="008A374B">
      <w:rPr>
        <w:sz w:val="18"/>
      </w:rPr>
      <w:t xml:space="preserve">G.P.O. Box 9958   </w:t>
    </w:r>
    <w:r w:rsidRPr="008A374B">
      <w:rPr>
        <w:b/>
        <w:color w:val="008EC4"/>
        <w:sz w:val="18"/>
      </w:rPr>
      <w:t>|</w:t>
    </w:r>
    <w:r w:rsidRPr="008A374B">
      <w:rPr>
        <w:sz w:val="18"/>
      </w:rPr>
      <w:t xml:space="preserve">   Melbourne VIC 3001   </w:t>
    </w:r>
    <w:r w:rsidRPr="008A374B">
      <w:rPr>
        <w:b/>
        <w:color w:val="008EC4"/>
        <w:sz w:val="18"/>
      </w:rPr>
      <w:t>|</w:t>
    </w:r>
    <w:r w:rsidRPr="008A374B">
      <w:rPr>
        <w:sz w:val="18"/>
      </w:rPr>
      <w:t xml:space="preserve">   www.ahpra.gov.au</w:t>
    </w:r>
  </w:p>
  <w:p w:rsidR="00D56891" w:rsidRDefault="00D56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74B" w:rsidRDefault="008A374B" w:rsidP="00FC2881">
      <w:pPr>
        <w:spacing w:after="0"/>
      </w:pPr>
      <w:r>
        <w:separator/>
      </w:r>
    </w:p>
    <w:p w:rsidR="008A374B" w:rsidRDefault="008A374B"/>
  </w:footnote>
  <w:footnote w:type="continuationSeparator" w:id="0">
    <w:p w:rsidR="008A374B" w:rsidRDefault="008A374B" w:rsidP="00FC2881">
      <w:pPr>
        <w:spacing w:after="0"/>
      </w:pPr>
      <w:r>
        <w:continuationSeparator/>
      </w:r>
    </w:p>
    <w:p w:rsidR="008A374B" w:rsidRDefault="008A37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F7" w:rsidRPr="00315933" w:rsidRDefault="000A6BF7" w:rsidP="00D638E0">
    <w:pPr>
      <w:ind w:left="-1134" w:right="-567"/>
      <w:jc w:val="right"/>
    </w:pPr>
  </w:p>
  <w:p w:rsidR="000A6BF7" w:rsidRDefault="000A6B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F7" w:rsidRDefault="008A374B" w:rsidP="00E844A0">
    <w:r>
      <w:rPr>
        <w:noProof/>
        <w:lang w:eastAsia="en-AU"/>
      </w:rPr>
      <w:drawing>
        <wp:anchor distT="0" distB="0" distL="114300" distR="114300" simplePos="0" relativeHeight="251659264" behindDoc="0" locked="0" layoutInCell="1" allowOverlap="1" wp14:anchorId="2B47E17F" wp14:editId="7FA28546">
          <wp:simplePos x="0" y="0"/>
          <wp:positionH relativeFrom="page">
            <wp:posOffset>-309245</wp:posOffset>
          </wp:positionH>
          <wp:positionV relativeFrom="page">
            <wp:posOffset>127635</wp:posOffset>
          </wp:positionV>
          <wp:extent cx="7550150" cy="1701800"/>
          <wp:effectExtent l="0" t="0" r="0" b="0"/>
          <wp:wrapTight wrapText="bothSides">
            <wp:wrapPolygon edited="0">
              <wp:start x="0" y="0"/>
              <wp:lineTo x="0" y="3869"/>
              <wp:lineTo x="16895" y="4110"/>
              <wp:lineTo x="15968" y="5561"/>
              <wp:lineTo x="16023" y="7737"/>
              <wp:lineTo x="15750" y="9188"/>
              <wp:lineTo x="15750" y="13057"/>
              <wp:lineTo x="15968" y="14024"/>
              <wp:lineTo x="18421" y="15475"/>
              <wp:lineTo x="16241" y="17167"/>
              <wp:lineTo x="16241" y="19101"/>
              <wp:lineTo x="14170" y="19343"/>
              <wp:lineTo x="14115" y="20310"/>
              <wp:lineTo x="14224" y="21278"/>
              <wp:lineTo x="18257" y="21278"/>
              <wp:lineTo x="19947" y="21278"/>
              <wp:lineTo x="20873" y="20552"/>
              <wp:lineTo x="20819" y="18376"/>
              <wp:lineTo x="20383" y="17409"/>
              <wp:lineTo x="19075" y="15475"/>
              <wp:lineTo x="19402" y="12331"/>
              <wp:lineTo x="19456" y="8704"/>
              <wp:lineTo x="19402" y="7737"/>
              <wp:lineTo x="18911" y="4594"/>
              <wp:lineTo x="21527" y="3869"/>
              <wp:lineTo x="21527" y="0"/>
              <wp:lineTo x="0" y="0"/>
            </wp:wrapPolygon>
          </wp:wrapTight>
          <wp:docPr id="1" name="P 1" descr="The Australian Health Practitioner Regulation Agency, Medical Board of Australia and The Australian Medical Associat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
                  <a:srcRect/>
                  <a:stretch>
                    <a:fillRect/>
                  </a:stretch>
                </pic:blipFill>
                <pic:spPr bwMode="auto">
                  <a:xfrm>
                    <a:off x="0" y="0"/>
                    <a:ext cx="7550150" cy="1701800"/>
                  </a:xfrm>
                  <a:prstGeom prst="rect">
                    <a:avLst/>
                  </a:prstGeom>
                  <a:noFill/>
                  <a:ln w="9525">
                    <a:noFill/>
                    <a:miter lim="800000"/>
                    <a:headEnd/>
                    <a:tailEnd/>
                  </a:ln>
                </pic:spPr>
              </pic:pic>
            </a:graphicData>
          </a:graphic>
        </wp:anchor>
      </w:drawing>
    </w:r>
  </w:p>
  <w:p w:rsidR="000A6BF7" w:rsidRDefault="008A374B" w:rsidP="00E844A0">
    <w:r w:rsidRPr="004361C7">
      <w:rPr>
        <w:noProof/>
        <w:lang w:eastAsia="en-AU"/>
      </w:rPr>
      <w:drawing>
        <wp:anchor distT="0" distB="0" distL="114300" distR="114300" simplePos="0" relativeHeight="251662848" behindDoc="1" locked="0" layoutInCell="1" allowOverlap="1" wp14:anchorId="18DFBADB" wp14:editId="5A1010BD">
          <wp:simplePos x="0" y="0"/>
          <wp:positionH relativeFrom="column">
            <wp:posOffset>107133</wp:posOffset>
          </wp:positionH>
          <wp:positionV relativeFrom="paragraph">
            <wp:posOffset>162769</wp:posOffset>
          </wp:positionV>
          <wp:extent cx="1276350" cy="1034143"/>
          <wp:effectExtent l="0" t="0" r="0" b="0"/>
          <wp:wrapNone/>
          <wp:docPr id="13" name="Picture 13" descr="G:\LOGO\AMA Logos\A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AMA Logos\AMA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6350" cy="1034143"/>
                  </a:xfrm>
                  <a:prstGeom prst="rect">
                    <a:avLst/>
                  </a:prstGeom>
                  <a:noFill/>
                  <a:ln>
                    <a:noFill/>
                  </a:ln>
                </pic:spPr>
              </pic:pic>
            </a:graphicData>
          </a:graphic>
        </wp:anchor>
      </w:drawing>
    </w:r>
  </w:p>
  <w:p w:rsidR="000A6BF7" w:rsidRDefault="000A6BF7" w:rsidP="00E844A0"/>
  <w:p w:rsidR="000A6BF7" w:rsidRDefault="000A6BF7" w:rsidP="00E844A0"/>
  <w:p w:rsidR="000A6BF7" w:rsidRDefault="000A6BF7" w:rsidP="00E844A0"/>
  <w:p w:rsidR="000A6BF7" w:rsidRDefault="000A6BF7"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68B"/>
    <w:multiLevelType w:val="multilevel"/>
    <w:tmpl w:val="5D8655B8"/>
    <w:numStyleLink w:val="AHPRANumberedheadinglist"/>
  </w:abstractNum>
  <w:abstractNum w:abstractNumId="1" w15:restartNumberingAfterBreak="0">
    <w:nsid w:val="0A8C50CD"/>
    <w:multiLevelType w:val="multilevel"/>
    <w:tmpl w:val="A8240A3C"/>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737" w:hanging="368"/>
      </w:pPr>
      <w:rPr>
        <w:rFonts w:ascii="Arial" w:hAnsi="Arial" w:hint="default"/>
        <w:b w:val="0"/>
        <w:i w:val="0"/>
        <w:color w:val="auto"/>
        <w:sz w:val="20"/>
      </w:rPr>
    </w:lvl>
    <w:lvl w:ilvl="2">
      <w:start w:val="1"/>
      <w:numFmt w:val="decimal"/>
      <w:pStyle w:val="AHPRANumberedlistlevel3"/>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862165"/>
    <w:multiLevelType w:val="multilevel"/>
    <w:tmpl w:val="5D8655B8"/>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166B316A"/>
    <w:multiLevelType w:val="hybridMultilevel"/>
    <w:tmpl w:val="C5225A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9BE2782"/>
    <w:multiLevelType w:val="hybridMultilevel"/>
    <w:tmpl w:val="A836C796"/>
    <w:styleLink w:val="ImportedStyle1"/>
    <w:lvl w:ilvl="0" w:tplc="6EF6570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3CDD7C">
      <w:start w:val="1"/>
      <w:numFmt w:val="low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8CEE98">
      <w:start w:val="1"/>
      <w:numFmt w:val="lowerRoman"/>
      <w:lvlText w:val="%3."/>
      <w:lvlJc w:val="left"/>
      <w:pPr>
        <w:ind w:left="29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A0626">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F0E17A">
      <w:start w:val="1"/>
      <w:numFmt w:val="lowerLetter"/>
      <w:lvlText w:val="%5."/>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182FBA">
      <w:start w:val="1"/>
      <w:numFmt w:val="lowerRoman"/>
      <w:lvlText w:val="%6."/>
      <w:lvlJc w:val="left"/>
      <w:pPr>
        <w:ind w:left="18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A61F2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44BE80">
      <w:start w:val="1"/>
      <w:numFmt w:val="lowerLetter"/>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FAB088">
      <w:start w:val="1"/>
      <w:numFmt w:val="lowerRoman"/>
      <w:lvlText w:val="%9."/>
      <w:lvlJc w:val="left"/>
      <w:pPr>
        <w:ind w:left="39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7B1525B"/>
    <w:multiLevelType w:val="hybridMultilevel"/>
    <w:tmpl w:val="4A7CF37A"/>
    <w:lvl w:ilvl="0" w:tplc="20409728">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97E7D"/>
    <w:multiLevelType w:val="hybridMultilevel"/>
    <w:tmpl w:val="A836C796"/>
    <w:numStyleLink w:val="ImportedStyle1"/>
  </w:abstractNum>
  <w:abstractNum w:abstractNumId="7"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2D02E4"/>
    <w:multiLevelType w:val="multilevel"/>
    <w:tmpl w:val="A8240A3C"/>
    <w:numStyleLink w:val="AHPRANumberedlist"/>
  </w:abstractNum>
  <w:num w:numId="1">
    <w:abstractNumId w:val="8"/>
  </w:num>
  <w:num w:numId="2">
    <w:abstractNumId w:val="7"/>
  </w:num>
  <w:num w:numId="3">
    <w:abstractNumId w:val="1"/>
  </w:num>
  <w:num w:numId="4">
    <w:abstractNumId w:val="2"/>
  </w:num>
  <w:num w:numId="5">
    <w:abstractNumId w:val="5"/>
  </w:num>
  <w:num w:numId="6">
    <w:abstractNumId w:val="0"/>
  </w:num>
  <w:num w:numId="7">
    <w:abstractNumId w:val="9"/>
  </w:num>
  <w:num w:numId="8">
    <w:abstractNumId w:val="4"/>
  </w:num>
  <w:num w:numId="9">
    <w:abstractNumId w:val="6"/>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4B"/>
    <w:rsid w:val="00000033"/>
    <w:rsid w:val="00006922"/>
    <w:rsid w:val="000334D7"/>
    <w:rsid w:val="00071439"/>
    <w:rsid w:val="000945FB"/>
    <w:rsid w:val="00095CEB"/>
    <w:rsid w:val="000A6BF7"/>
    <w:rsid w:val="0010139F"/>
    <w:rsid w:val="001017A4"/>
    <w:rsid w:val="00144DEF"/>
    <w:rsid w:val="001C425C"/>
    <w:rsid w:val="001E1E31"/>
    <w:rsid w:val="001E2849"/>
    <w:rsid w:val="001E4A94"/>
    <w:rsid w:val="001E5621"/>
    <w:rsid w:val="00220A3B"/>
    <w:rsid w:val="0028013F"/>
    <w:rsid w:val="00295B44"/>
    <w:rsid w:val="002B2D48"/>
    <w:rsid w:val="002C08FB"/>
    <w:rsid w:val="002C34EA"/>
    <w:rsid w:val="00303BE1"/>
    <w:rsid w:val="00305AFC"/>
    <w:rsid w:val="003354E4"/>
    <w:rsid w:val="003855BC"/>
    <w:rsid w:val="003C610F"/>
    <w:rsid w:val="003D6DBD"/>
    <w:rsid w:val="003E00B5"/>
    <w:rsid w:val="003E3268"/>
    <w:rsid w:val="003F2F06"/>
    <w:rsid w:val="00405C0A"/>
    <w:rsid w:val="00414F2C"/>
    <w:rsid w:val="00450B34"/>
    <w:rsid w:val="004606A7"/>
    <w:rsid w:val="004A4D2E"/>
    <w:rsid w:val="004A5E5D"/>
    <w:rsid w:val="004B747B"/>
    <w:rsid w:val="004D7537"/>
    <w:rsid w:val="004F5C05"/>
    <w:rsid w:val="005330A7"/>
    <w:rsid w:val="00553A4C"/>
    <w:rsid w:val="00554335"/>
    <w:rsid w:val="005565CE"/>
    <w:rsid w:val="005708AE"/>
    <w:rsid w:val="005A0FA9"/>
    <w:rsid w:val="005C5932"/>
    <w:rsid w:val="005C6817"/>
    <w:rsid w:val="00616043"/>
    <w:rsid w:val="00640B2C"/>
    <w:rsid w:val="00667CAD"/>
    <w:rsid w:val="00681D5E"/>
    <w:rsid w:val="006C0257"/>
    <w:rsid w:val="006C0E29"/>
    <w:rsid w:val="006D30FE"/>
    <w:rsid w:val="006D3757"/>
    <w:rsid w:val="006E38F0"/>
    <w:rsid w:val="006F7348"/>
    <w:rsid w:val="006F796D"/>
    <w:rsid w:val="0070155F"/>
    <w:rsid w:val="007372A4"/>
    <w:rsid w:val="00741B04"/>
    <w:rsid w:val="0076115C"/>
    <w:rsid w:val="007664F3"/>
    <w:rsid w:val="007A35B9"/>
    <w:rsid w:val="007B77D6"/>
    <w:rsid w:val="007C0B6E"/>
    <w:rsid w:val="007D4836"/>
    <w:rsid w:val="007E2C84"/>
    <w:rsid w:val="007F0095"/>
    <w:rsid w:val="008338F7"/>
    <w:rsid w:val="00836397"/>
    <w:rsid w:val="00845054"/>
    <w:rsid w:val="00852D1C"/>
    <w:rsid w:val="00856147"/>
    <w:rsid w:val="00860F40"/>
    <w:rsid w:val="008615C9"/>
    <w:rsid w:val="00864020"/>
    <w:rsid w:val="008979D5"/>
    <w:rsid w:val="008A374B"/>
    <w:rsid w:val="008A4C3B"/>
    <w:rsid w:val="008B2AD7"/>
    <w:rsid w:val="008C738C"/>
    <w:rsid w:val="008D50AF"/>
    <w:rsid w:val="008D6B7E"/>
    <w:rsid w:val="008D7845"/>
    <w:rsid w:val="00915CA3"/>
    <w:rsid w:val="00923B23"/>
    <w:rsid w:val="0092765E"/>
    <w:rsid w:val="00937ED0"/>
    <w:rsid w:val="00952797"/>
    <w:rsid w:val="009777D3"/>
    <w:rsid w:val="009859E6"/>
    <w:rsid w:val="009A0A5D"/>
    <w:rsid w:val="009C6933"/>
    <w:rsid w:val="009E0E43"/>
    <w:rsid w:val="00A04C7A"/>
    <w:rsid w:val="00A058E5"/>
    <w:rsid w:val="00A10C1A"/>
    <w:rsid w:val="00A2072E"/>
    <w:rsid w:val="00A237BB"/>
    <w:rsid w:val="00A82078"/>
    <w:rsid w:val="00A838C8"/>
    <w:rsid w:val="00A91C42"/>
    <w:rsid w:val="00A9516B"/>
    <w:rsid w:val="00A9780A"/>
    <w:rsid w:val="00AA00AF"/>
    <w:rsid w:val="00AA2FC9"/>
    <w:rsid w:val="00AB283D"/>
    <w:rsid w:val="00AD312E"/>
    <w:rsid w:val="00AE3EAF"/>
    <w:rsid w:val="00B024B0"/>
    <w:rsid w:val="00B51748"/>
    <w:rsid w:val="00B57198"/>
    <w:rsid w:val="00B85023"/>
    <w:rsid w:val="00B91200"/>
    <w:rsid w:val="00BA469B"/>
    <w:rsid w:val="00BB4A5B"/>
    <w:rsid w:val="00BF2534"/>
    <w:rsid w:val="00BF79DC"/>
    <w:rsid w:val="00C35DE1"/>
    <w:rsid w:val="00C524AA"/>
    <w:rsid w:val="00C54689"/>
    <w:rsid w:val="00C609E2"/>
    <w:rsid w:val="00C81B3A"/>
    <w:rsid w:val="00CB6C08"/>
    <w:rsid w:val="00CD0DCA"/>
    <w:rsid w:val="00D12F61"/>
    <w:rsid w:val="00D201C6"/>
    <w:rsid w:val="00D31FF2"/>
    <w:rsid w:val="00D56891"/>
    <w:rsid w:val="00D638E0"/>
    <w:rsid w:val="00D716BA"/>
    <w:rsid w:val="00D8404D"/>
    <w:rsid w:val="00DC2952"/>
    <w:rsid w:val="00DF1AB7"/>
    <w:rsid w:val="00E07C02"/>
    <w:rsid w:val="00E12B06"/>
    <w:rsid w:val="00E15BF6"/>
    <w:rsid w:val="00E71CB9"/>
    <w:rsid w:val="00E73698"/>
    <w:rsid w:val="00E8251C"/>
    <w:rsid w:val="00E844A0"/>
    <w:rsid w:val="00F13ED2"/>
    <w:rsid w:val="00F27ACB"/>
    <w:rsid w:val="00F3616F"/>
    <w:rsid w:val="00F6618F"/>
    <w:rsid w:val="00F66578"/>
    <w:rsid w:val="00F70DD5"/>
    <w:rsid w:val="00F73165"/>
    <w:rsid w:val="00F80035"/>
    <w:rsid w:val="00F90BCE"/>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A9E976F-064F-4D80-B54F-8249CA86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D31FF2"/>
    <w:pPr>
      <w:spacing w:before="200"/>
      <w:outlineLvl w:val="0"/>
    </w:pPr>
    <w:rPr>
      <w:rFonts w:cs="Arial"/>
      <w:color w:val="00BCE4"/>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1E4A94"/>
    <w:rPr>
      <w:sz w:val="24"/>
      <w:szCs w:val="24"/>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D31FF2"/>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D56891"/>
    <w:rPr>
      <w:b w:val="0"/>
      <w:i/>
    </w:rPr>
  </w:style>
  <w:style w:type="paragraph" w:customStyle="1" w:styleId="AHPRABulletlevel1">
    <w:name w:val="AHPRA Bullet level 1"/>
    <w:basedOn w:val="Normal"/>
    <w:qFormat/>
    <w:rsid w:val="00D8404D"/>
    <w:pPr>
      <w:numPr>
        <w:numId w:val="2"/>
      </w:numPr>
      <w:spacing w:after="0"/>
      <w:ind w:left="369" w:hanging="369"/>
    </w:pPr>
    <w:rPr>
      <w:sz w:val="20"/>
    </w:rPr>
  </w:style>
  <w:style w:type="paragraph" w:customStyle="1" w:styleId="AHPRABulletlevel2">
    <w:name w:val="AHPRA Bullet level 2"/>
    <w:basedOn w:val="AHPRABulletlevel1"/>
    <w:rsid w:val="00D31FF2"/>
    <w:pPr>
      <w:numPr>
        <w:numId w:val="5"/>
      </w:numPr>
      <w:ind w:left="738" w:hanging="369"/>
    </w:pPr>
  </w:style>
  <w:style w:type="paragraph" w:customStyle="1" w:styleId="AHPRABulletlevel3">
    <w:name w:val="AHPRA Bullet level 3"/>
    <w:basedOn w:val="AHPRABulletlevel2"/>
    <w:rsid w:val="00D31FF2"/>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D31FF2"/>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AHPRASubheadinglevel2"/>
    <w:rsid w:val="00A10C1A"/>
    <w:pPr>
      <w:spacing w:before="120" w:after="120"/>
      <w:jc w:val="center"/>
    </w:pPr>
  </w:style>
  <w:style w:type="paragraph" w:customStyle="1" w:styleId="AHPRABulletlevel1last">
    <w:name w:val="AHPRA Bullet level 1 last"/>
    <w:basedOn w:val="AHPRABulletlevel1"/>
    <w:next w:val="Normal"/>
    <w:rsid w:val="00D8404D"/>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D31FF2"/>
    <w:pPr>
      <w:jc w:val="right"/>
    </w:pPr>
    <w:rPr>
      <w:szCs w:val="18"/>
    </w:r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iPriority w:val="1"/>
    <w:semiHidden/>
    <w:unhideWhenUsed/>
    <w:rsid w:val="00E73698"/>
    <w:rPr>
      <w:vertAlign w:val="superscript"/>
    </w:rPr>
  </w:style>
  <w:style w:type="paragraph" w:customStyle="1" w:styleId="AHPRAfooter">
    <w:name w:val="AHPRA footer"/>
    <w:basedOn w:val="FootnoteText"/>
    <w:rsid w:val="00D31FF2"/>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Normal"/>
    <w:next w:val="Normal"/>
    <w:autoRedefine/>
    <w:uiPriority w:val="1"/>
    <w:semiHidden/>
    <w:unhideWhenUsed/>
    <w:rsid w:val="00E73698"/>
    <w:pPr>
      <w:ind w:left="240"/>
    </w:pPr>
  </w:style>
  <w:style w:type="paragraph" w:styleId="TOC1">
    <w:name w:val="toc 1"/>
    <w:aliases w:val="AHPRA table of contents"/>
    <w:basedOn w:val="Normal"/>
    <w:next w:val="Normal"/>
    <w:autoRedefine/>
    <w:uiPriority w:val="1"/>
    <w:semiHidden/>
    <w:unhideWhenUsed/>
    <w:rsid w:val="00E73698"/>
    <w:pPr>
      <w:tabs>
        <w:tab w:val="right" w:leader="dot" w:pos="9488"/>
      </w:tabs>
    </w:pPr>
    <w:rPr>
      <w:b/>
      <w:noProof/>
      <w:color w:val="008EC4"/>
      <w:sz w:val="20"/>
    </w:rPr>
  </w:style>
  <w:style w:type="paragraph" w:styleId="TOC3">
    <w:name w:val="toc 3"/>
    <w:basedOn w:val="Normal"/>
    <w:next w:val="Normal"/>
    <w:autoRedefine/>
    <w:uiPriority w:val="1"/>
    <w:semiHidden/>
    <w:unhideWhenUsed/>
    <w:rsid w:val="00E73698"/>
    <w:pPr>
      <w:ind w:left="480"/>
    </w:pPr>
  </w:style>
  <w:style w:type="character" w:styleId="Hyperlink">
    <w:name w:val="Hyperlink"/>
    <w:uiPriority w:val="1"/>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D31FF2"/>
    <w:pPr>
      <w:numPr>
        <w:numId w:val="3"/>
      </w:numPr>
    </w:pPr>
  </w:style>
  <w:style w:type="numbering" w:customStyle="1" w:styleId="AHPRANumberedheadinglist">
    <w:name w:val="AHPRA Numbered heading list"/>
    <w:uiPriority w:val="99"/>
    <w:rsid w:val="00D31FF2"/>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D8404D"/>
    <w:pPr>
      <w:spacing w:after="200"/>
    </w:pPr>
  </w:style>
  <w:style w:type="paragraph" w:customStyle="1" w:styleId="AHPRABulletlevel3last">
    <w:name w:val="AHPRA Bullet level 3 last"/>
    <w:basedOn w:val="AHPRABulletlevel3"/>
    <w:next w:val="AHPRAbody"/>
    <w:rsid w:val="00D8404D"/>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D31FF2"/>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D31FF2"/>
    <w:pPr>
      <w:numPr>
        <w:numId w:val="7"/>
      </w:numPr>
    </w:pPr>
  </w:style>
  <w:style w:type="paragraph" w:customStyle="1" w:styleId="AHPRANumberedlistlevel3">
    <w:name w:val="AHPRA Numbered list level 3"/>
    <w:basedOn w:val="AHPRANumberedlistlevel1"/>
    <w:rsid w:val="00D31FF2"/>
    <w:pPr>
      <w:numPr>
        <w:ilvl w:val="2"/>
      </w:numPr>
      <w:ind w:left="1106" w:hanging="369"/>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F80035"/>
    <w:rPr>
      <w:rFonts w:cs="Arial"/>
      <w:szCs w:val="24"/>
    </w:rPr>
  </w:style>
  <w:style w:type="character" w:customStyle="1" w:styleId="AHPRAbodyboldChar">
    <w:name w:val="AHPRA body bold Char"/>
    <w:basedOn w:val="AHPRAbodyChar"/>
    <w:link w:val="AHPRAbodybold"/>
    <w:rsid w:val="00F80035"/>
    <w:rPr>
      <w:rFonts w:cs="Arial"/>
      <w:b/>
      <w:szCs w:val="24"/>
    </w:rPr>
  </w:style>
  <w:style w:type="character" w:customStyle="1" w:styleId="AHPRAbodyitalicsChar">
    <w:name w:val="AHPRA body italics Char"/>
    <w:basedOn w:val="AHPRAbodyboldChar"/>
    <w:link w:val="AHPRAbodyitalics"/>
    <w:rsid w:val="00F80035"/>
    <w:rPr>
      <w:rFonts w:cs="Arial"/>
      <w:b/>
      <w:i/>
      <w:szCs w:val="24"/>
    </w:rPr>
  </w:style>
  <w:style w:type="character" w:customStyle="1" w:styleId="AHPRAbodyunderlineChar">
    <w:name w:val="AHPRA body underline Char"/>
    <w:basedOn w:val="AHPRAbodyitalicsChar"/>
    <w:link w:val="AHPRAbodyunderline"/>
    <w:rsid w:val="00F80035"/>
    <w:rPr>
      <w:rFonts w:cs="Arial"/>
      <w:b/>
      <w:i/>
      <w:szCs w:val="24"/>
      <w:u w:val="single"/>
    </w:rPr>
  </w:style>
  <w:style w:type="numbering" w:customStyle="1" w:styleId="ImportedStyle1">
    <w:name w:val="Imported Style 1"/>
    <w:rsid w:val="008A374B"/>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rie\AppData\Local\Hewlett-Packard\HP%20TRIM\TEMP\HPTRIM.4316\ID13%2041791%20%20Template%20-%20MBA%20-%20Media%20release%20(MBA-AHPRA%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316D-648A-4D88-BD1B-2440DBDC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ID13 41791  Template - MBA - Media release (MBA-AHPRA logo).DOTX</Template>
  <TotalTime>1</TotalTime>
  <Pages>3</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Blank template</vt:lpstr>
    </vt:vector>
  </TitlesOfParts>
  <Company>Johanna Villani Design</Company>
  <LinksUpToDate>false</LinksUpToDate>
  <CharactersWithSpaces>7972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 meeting with the AMA on notifications</dc:title>
  <dc:subject>Communique</dc:subject>
  <dc:creator>Medical Board of Australia</dc:creator>
  <cp:lastModifiedBy>Sheryl Kamath</cp:lastModifiedBy>
  <cp:revision>2</cp:revision>
  <cp:lastPrinted>2010-06-23T03:38:00Z</cp:lastPrinted>
  <dcterms:created xsi:type="dcterms:W3CDTF">2017-05-09T00:47:00Z</dcterms:created>
  <dcterms:modified xsi:type="dcterms:W3CDTF">2017-05-09T00:47:00Z</dcterms:modified>
</cp:coreProperties>
</file>