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C2881" w:rsidRPr="00C3795C" w:rsidRDefault="00F26DF6" w:rsidP="00C3795C">
      <w:pPr>
        <w:pStyle w:val="AHPRADocumenttitle"/>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-802005</wp:posOffset>
                </wp:positionH>
                <wp:positionV relativeFrom="paragraph">
                  <wp:posOffset>462915</wp:posOffset>
                </wp:positionV>
                <wp:extent cx="6153785" cy="0"/>
                <wp:effectExtent l="8890" t="8890" r="9525" b="1016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9238BE" id="_x0000_t32" coordsize="21600,21600" o:spt="32" o:oned="t" path="m,l21600,21600e" filled="f">
                <v:path arrowok="t" fillok="f" o:connecttype="none"/>
                <o:lock v:ext="edit" shapetype="t"/>
              </v:shapetype>
              <v:shape id="AutoShape 3" o:spid="_x0000_s1026" type="#_x0000_t32" style="position:absolute;margin-left:-63.15pt;margin-top:36.45pt;width:484.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zG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"/>
            </w:pict>
          </mc:Fallback>
        </mc:AlternateContent>
      </w:r>
      <w:bookmarkStart w:id="1" w:name="_Toc316635487"/>
      <w:r w:rsidR="00D44F1A">
        <w:t>Responsible advertising in healthcare: Keeping people safe</w:t>
      </w:r>
      <w:bookmarkEnd w:id="1"/>
    </w:p>
    <w:p w:rsidR="00C3795C" w:rsidRDefault="00C3795C" w:rsidP="00FC2881">
      <w:pPr>
        <w:outlineLvl w:val="0"/>
      </w:pPr>
    </w:p>
    <w:p w:rsidR="00C35DE1" w:rsidRDefault="00BA674A" w:rsidP="00C3795C">
      <w:pPr>
        <w:pStyle w:val="AHPRAbody"/>
      </w:pPr>
      <w:r>
        <w:t>June 2019</w:t>
      </w:r>
    </w:p>
    <w:p w:rsidR="00C3795C" w:rsidRDefault="00D44F1A" w:rsidP="00C3795C">
      <w:pPr>
        <w:pStyle w:val="AHPRADocumentsubheading"/>
      </w:pPr>
      <w:bookmarkStart w:id="2" w:name="_Toc316635488"/>
      <w:r>
        <w:t>Advertising compliance and enforcement strategy for the National Scheme</w:t>
      </w:r>
      <w:bookmarkEnd w:id="2"/>
    </w:p>
    <w:p w:rsidR="00D44F1A" w:rsidRPr="00332FF5" w:rsidRDefault="00D44F1A" w:rsidP="00D44F1A">
      <w:pPr>
        <w:spacing w:after="120"/>
        <w:rPr>
          <w:rFonts w:cs="Arial"/>
          <w:sz w:val="20"/>
          <w:szCs w:val="20"/>
        </w:rPr>
      </w:pPr>
      <w:r w:rsidRPr="00332FF5">
        <w:rPr>
          <w:rFonts w:cs="Arial"/>
          <w:sz w:val="20"/>
          <w:szCs w:val="20"/>
        </w:rPr>
        <w:t xml:space="preserve">The Australian Health Practitioner Regulation Agency (AHPRA) and National Boards </w:t>
      </w:r>
      <w:r>
        <w:rPr>
          <w:rFonts w:cs="Arial"/>
          <w:sz w:val="20"/>
          <w:szCs w:val="20"/>
        </w:rPr>
        <w:t>regulate health practitioners in Australia through the National Registration and Accreditation Scheme (the National Scheme).</w:t>
      </w:r>
    </w:p>
    <w:p w:rsidR="00D44F1A" w:rsidRPr="00332FF5" w:rsidRDefault="00D44F1A" w:rsidP="00D44F1A">
      <w:pPr>
        <w:spacing w:after="0"/>
        <w:rPr>
          <w:rFonts w:cs="Arial"/>
          <w:sz w:val="20"/>
          <w:szCs w:val="20"/>
        </w:rPr>
      </w:pPr>
      <w:r>
        <w:rPr>
          <w:rFonts w:cs="Arial"/>
          <w:sz w:val="20"/>
          <w:szCs w:val="20"/>
        </w:rPr>
        <w:t>O</w:t>
      </w:r>
      <w:r w:rsidRPr="00332FF5">
        <w:rPr>
          <w:rFonts w:cs="Arial"/>
          <w:sz w:val="20"/>
          <w:szCs w:val="20"/>
        </w:rPr>
        <w:t xml:space="preserve">ur primary </w:t>
      </w:r>
      <w:r>
        <w:rPr>
          <w:rFonts w:cs="Arial"/>
          <w:sz w:val="20"/>
          <w:szCs w:val="20"/>
        </w:rPr>
        <w:t>role</w:t>
      </w:r>
      <w:r w:rsidRPr="00332FF5">
        <w:rPr>
          <w:rFonts w:cs="Arial"/>
          <w:sz w:val="20"/>
          <w:szCs w:val="20"/>
        </w:rPr>
        <w:t xml:space="preserve"> is public</w:t>
      </w:r>
      <w:r>
        <w:rPr>
          <w:rFonts w:cs="Arial"/>
          <w:sz w:val="20"/>
          <w:szCs w:val="20"/>
        </w:rPr>
        <w:t xml:space="preserve"> protection and we aim to do this through a ri</w:t>
      </w:r>
      <w:r w:rsidRPr="00332FF5">
        <w:rPr>
          <w:rFonts w:cs="Arial"/>
          <w:sz w:val="20"/>
          <w:szCs w:val="20"/>
        </w:rPr>
        <w:t xml:space="preserve">sk-based </w:t>
      </w:r>
      <w:r>
        <w:rPr>
          <w:rFonts w:cs="Arial"/>
          <w:sz w:val="20"/>
          <w:szCs w:val="20"/>
        </w:rPr>
        <w:t xml:space="preserve">approach to regulation, taking action proportionate to the risks to public health and safety we have identified. </w:t>
      </w:r>
    </w:p>
    <w:p w:rsidR="00D44F1A" w:rsidRPr="00332FF5" w:rsidRDefault="00D44F1A" w:rsidP="00D44F1A">
      <w:pPr>
        <w:spacing w:after="0"/>
        <w:rPr>
          <w:rFonts w:cs="Arial"/>
          <w:sz w:val="20"/>
          <w:szCs w:val="20"/>
        </w:rPr>
      </w:pPr>
    </w:p>
    <w:p w:rsidR="00D44F1A" w:rsidRPr="00332FF5" w:rsidRDefault="00D44F1A" w:rsidP="00D44F1A">
      <w:pPr>
        <w:spacing w:after="0"/>
        <w:rPr>
          <w:rFonts w:cs="Arial"/>
          <w:sz w:val="20"/>
          <w:szCs w:val="20"/>
        </w:rPr>
      </w:pPr>
      <w:r w:rsidRPr="00332FF5">
        <w:rPr>
          <w:rFonts w:cs="Arial"/>
          <w:sz w:val="20"/>
          <w:szCs w:val="20"/>
        </w:rPr>
        <w:t xml:space="preserve">Our </w:t>
      </w:r>
      <w:r>
        <w:rPr>
          <w:rFonts w:cs="Arial"/>
          <w:sz w:val="20"/>
          <w:szCs w:val="20"/>
        </w:rPr>
        <w:t>goal</w:t>
      </w:r>
      <w:r w:rsidRPr="00332FF5">
        <w:rPr>
          <w:rFonts w:cs="Arial"/>
          <w:sz w:val="20"/>
          <w:szCs w:val="20"/>
        </w:rPr>
        <w:t xml:space="preserve"> is to en</w:t>
      </w:r>
      <w:r>
        <w:rPr>
          <w:rFonts w:cs="Arial"/>
          <w:sz w:val="20"/>
          <w:szCs w:val="20"/>
        </w:rPr>
        <w:t>sure advertising</w:t>
      </w:r>
      <w:r w:rsidRPr="00332FF5">
        <w:rPr>
          <w:rFonts w:cs="Arial"/>
          <w:sz w:val="20"/>
          <w:szCs w:val="20"/>
        </w:rPr>
        <w:t xml:space="preserve"> about regulated health service</w:t>
      </w:r>
      <w:r>
        <w:rPr>
          <w:rFonts w:cs="Arial"/>
          <w:sz w:val="20"/>
          <w:szCs w:val="20"/>
        </w:rPr>
        <w:t>s</w:t>
      </w:r>
      <w:r w:rsidRPr="00332FF5">
        <w:rPr>
          <w:rFonts w:cs="Arial"/>
          <w:sz w:val="20"/>
          <w:szCs w:val="20"/>
        </w:rPr>
        <w:t xml:space="preserve"> </w:t>
      </w:r>
      <w:r>
        <w:rPr>
          <w:rFonts w:cs="Arial"/>
          <w:sz w:val="20"/>
          <w:szCs w:val="20"/>
        </w:rPr>
        <w:t xml:space="preserve">is done </w:t>
      </w:r>
      <w:r w:rsidRPr="00332FF5">
        <w:rPr>
          <w:rFonts w:cs="Arial"/>
          <w:sz w:val="20"/>
          <w:szCs w:val="20"/>
        </w:rPr>
        <w:t>responsibl</w:t>
      </w:r>
      <w:r>
        <w:rPr>
          <w:rFonts w:cs="Arial"/>
          <w:sz w:val="20"/>
          <w:szCs w:val="20"/>
        </w:rPr>
        <w:t>y in order to keep the public safe from false or misleading claims and to assist them to make informed decisions about their healthcare.</w:t>
      </w:r>
    </w:p>
    <w:p w:rsidR="00D44F1A" w:rsidRPr="00332FF5" w:rsidRDefault="00D44F1A" w:rsidP="00D44F1A">
      <w:pPr>
        <w:spacing w:after="0"/>
        <w:rPr>
          <w:rFonts w:cs="Arial"/>
          <w:sz w:val="20"/>
          <w:szCs w:val="20"/>
        </w:rPr>
      </w:pPr>
    </w:p>
    <w:p w:rsidR="00D44F1A" w:rsidRPr="00332FF5" w:rsidRDefault="00D44F1A" w:rsidP="00D44F1A">
      <w:pPr>
        <w:spacing w:after="120"/>
        <w:rPr>
          <w:rFonts w:cs="Arial"/>
          <w:sz w:val="20"/>
          <w:szCs w:val="20"/>
        </w:rPr>
      </w:pPr>
      <w:r w:rsidRPr="00332FF5">
        <w:rPr>
          <w:rFonts w:cs="Arial"/>
          <w:sz w:val="20"/>
          <w:szCs w:val="20"/>
        </w:rPr>
        <w:t>This strategy explains</w:t>
      </w:r>
      <w:r>
        <w:rPr>
          <w:rFonts w:cs="Arial"/>
          <w:sz w:val="20"/>
          <w:szCs w:val="20"/>
        </w:rPr>
        <w:t>:</w:t>
      </w:r>
      <w:r w:rsidRPr="00332FF5">
        <w:rPr>
          <w:rFonts w:cs="Arial"/>
          <w:sz w:val="20"/>
          <w:szCs w:val="20"/>
        </w:rPr>
        <w:t xml:space="preserve"> </w:t>
      </w:r>
    </w:p>
    <w:p w:rsidR="00D44F1A" w:rsidRPr="00332FF5" w:rsidRDefault="00D44F1A" w:rsidP="00D44F1A">
      <w:pPr>
        <w:pStyle w:val="ListParagraph"/>
        <w:numPr>
          <w:ilvl w:val="0"/>
          <w:numId w:val="20"/>
        </w:numPr>
        <w:spacing w:after="0"/>
        <w:ind w:left="426" w:hanging="426"/>
        <w:contextualSpacing w:val="0"/>
        <w:rPr>
          <w:rFonts w:ascii="Arial" w:hAnsi="Arial" w:cs="Arial"/>
          <w:sz w:val="20"/>
          <w:szCs w:val="20"/>
        </w:rPr>
      </w:pPr>
      <w:r w:rsidRPr="00332FF5">
        <w:rPr>
          <w:rFonts w:ascii="Arial" w:hAnsi="Arial" w:cs="Arial"/>
          <w:sz w:val="20"/>
          <w:szCs w:val="20"/>
        </w:rPr>
        <w:t xml:space="preserve">how our risk-based approach is applied to </w:t>
      </w:r>
      <w:r>
        <w:rPr>
          <w:rFonts w:ascii="Arial" w:hAnsi="Arial" w:cs="Arial"/>
          <w:sz w:val="20"/>
          <w:szCs w:val="20"/>
        </w:rPr>
        <w:t>a</w:t>
      </w:r>
      <w:r w:rsidRPr="00332FF5">
        <w:rPr>
          <w:rFonts w:ascii="Arial" w:hAnsi="Arial" w:cs="Arial"/>
          <w:sz w:val="20"/>
          <w:szCs w:val="20"/>
        </w:rPr>
        <w:t xml:space="preserve">dvertising compliance </w:t>
      </w:r>
      <w:r>
        <w:rPr>
          <w:rFonts w:ascii="Arial" w:hAnsi="Arial" w:cs="Arial"/>
          <w:sz w:val="20"/>
          <w:szCs w:val="20"/>
        </w:rPr>
        <w:t>and enforcement</w:t>
      </w:r>
    </w:p>
    <w:p w:rsidR="00D44F1A" w:rsidRPr="00332FF5" w:rsidRDefault="00D44F1A" w:rsidP="00D44F1A">
      <w:pPr>
        <w:pStyle w:val="ListParagraph"/>
        <w:numPr>
          <w:ilvl w:val="0"/>
          <w:numId w:val="20"/>
        </w:numPr>
        <w:spacing w:after="0"/>
        <w:ind w:left="426" w:hanging="426"/>
        <w:contextualSpacing w:val="0"/>
        <w:rPr>
          <w:rFonts w:ascii="Arial" w:hAnsi="Arial" w:cs="Arial"/>
          <w:sz w:val="20"/>
          <w:szCs w:val="20"/>
        </w:rPr>
      </w:pPr>
      <w:r w:rsidRPr="00332FF5">
        <w:rPr>
          <w:rFonts w:ascii="Arial" w:hAnsi="Arial" w:cs="Arial"/>
          <w:sz w:val="20"/>
          <w:szCs w:val="20"/>
        </w:rPr>
        <w:t xml:space="preserve">how we </w:t>
      </w:r>
      <w:r>
        <w:rPr>
          <w:rFonts w:ascii="Arial" w:hAnsi="Arial" w:cs="Arial"/>
          <w:sz w:val="20"/>
          <w:szCs w:val="20"/>
        </w:rPr>
        <w:t xml:space="preserve">encourage voluntary compliance and </w:t>
      </w:r>
      <w:r w:rsidRPr="00332FF5">
        <w:rPr>
          <w:rFonts w:ascii="Arial" w:hAnsi="Arial" w:cs="Arial"/>
          <w:sz w:val="20"/>
          <w:szCs w:val="20"/>
        </w:rPr>
        <w:t xml:space="preserve">deal with non-compliant advertising, and </w:t>
      </w:r>
    </w:p>
    <w:p w:rsidR="00D44F1A" w:rsidRDefault="00D44F1A" w:rsidP="00D44F1A">
      <w:pPr>
        <w:pStyle w:val="ListParagraph"/>
        <w:numPr>
          <w:ilvl w:val="0"/>
          <w:numId w:val="20"/>
        </w:numPr>
        <w:spacing w:after="0"/>
        <w:ind w:left="426" w:hanging="426"/>
        <w:contextualSpacing w:val="0"/>
        <w:rPr>
          <w:rFonts w:ascii="Arial" w:hAnsi="Arial" w:cs="Arial"/>
          <w:sz w:val="20"/>
          <w:szCs w:val="20"/>
        </w:rPr>
      </w:pPr>
      <w:r w:rsidRPr="00332FF5">
        <w:rPr>
          <w:rFonts w:ascii="Arial" w:hAnsi="Arial" w:cs="Arial"/>
          <w:sz w:val="20"/>
          <w:szCs w:val="20"/>
        </w:rPr>
        <w:t>how we plan to evaluate and refine this strategy</w:t>
      </w:r>
      <w:r>
        <w:rPr>
          <w:rFonts w:ascii="Arial" w:hAnsi="Arial" w:cs="Arial"/>
          <w:sz w:val="20"/>
          <w:szCs w:val="20"/>
        </w:rPr>
        <w:t>.</w:t>
      </w:r>
      <w:r w:rsidRPr="00332FF5">
        <w:rPr>
          <w:rFonts w:ascii="Arial" w:hAnsi="Arial" w:cs="Arial"/>
          <w:sz w:val="20"/>
          <w:szCs w:val="20"/>
        </w:rPr>
        <w:t xml:space="preserve"> </w:t>
      </w:r>
    </w:p>
    <w:p w:rsidR="00D44F1A" w:rsidRPr="00E7612E" w:rsidRDefault="00D44F1A" w:rsidP="00D44F1A">
      <w:pPr>
        <w:pStyle w:val="ListParagraph"/>
        <w:spacing w:after="120"/>
        <w:rPr>
          <w:rFonts w:ascii="Arial" w:hAnsi="Arial" w:cs="Arial"/>
          <w:sz w:val="20"/>
          <w:szCs w:val="20"/>
        </w:rPr>
      </w:pPr>
    </w:p>
    <w:p w:rsidR="00D44F1A" w:rsidRDefault="00D44F1A" w:rsidP="00D44F1A">
      <w:pPr>
        <w:pStyle w:val="ListParagraph"/>
        <w:numPr>
          <w:ilvl w:val="0"/>
          <w:numId w:val="15"/>
        </w:numPr>
        <w:spacing w:after="120"/>
        <w:ind w:left="357" w:hanging="357"/>
        <w:rPr>
          <w:rFonts w:ascii="Arial" w:hAnsi="Arial" w:cs="Arial"/>
          <w:b/>
          <w:sz w:val="20"/>
          <w:szCs w:val="20"/>
        </w:rPr>
      </w:pPr>
      <w:r w:rsidRPr="00624F35">
        <w:rPr>
          <w:rFonts w:ascii="Arial" w:hAnsi="Arial" w:cs="Arial"/>
          <w:b/>
          <w:sz w:val="20"/>
          <w:szCs w:val="20"/>
        </w:rPr>
        <w:t>Introduction</w:t>
      </w:r>
    </w:p>
    <w:p w:rsidR="00D44F1A" w:rsidRPr="00624F35" w:rsidRDefault="00D44F1A" w:rsidP="00D44F1A">
      <w:pPr>
        <w:pStyle w:val="ListParagraph"/>
        <w:spacing w:after="120"/>
        <w:ind w:left="357"/>
        <w:rPr>
          <w:rFonts w:ascii="Arial" w:hAnsi="Arial" w:cs="Arial"/>
          <w:b/>
          <w:sz w:val="20"/>
          <w:szCs w:val="20"/>
        </w:rPr>
      </w:pP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Pr>
          <w:rFonts w:ascii="Arial" w:hAnsi="Arial" w:cs="Arial"/>
          <w:b/>
          <w:color w:val="0070C0"/>
          <w:sz w:val="20"/>
          <w:szCs w:val="20"/>
        </w:rPr>
        <w:t>What we do</w:t>
      </w:r>
    </w:p>
    <w:p w:rsidR="00D44F1A" w:rsidRDefault="00D44F1A" w:rsidP="00D44F1A">
      <w:pPr>
        <w:spacing w:after="0"/>
        <w:rPr>
          <w:rFonts w:cs="Arial"/>
          <w:sz w:val="20"/>
          <w:szCs w:val="20"/>
        </w:rPr>
      </w:pPr>
      <w:r w:rsidRPr="00A32E08">
        <w:rPr>
          <w:rFonts w:cs="Arial"/>
          <w:sz w:val="20"/>
          <w:szCs w:val="20"/>
        </w:rPr>
        <w:t>The National Scheme regulates 14 health profession</w:t>
      </w:r>
      <w:r>
        <w:rPr>
          <w:rFonts w:cs="Arial"/>
          <w:sz w:val="20"/>
          <w:szCs w:val="20"/>
        </w:rPr>
        <w:t xml:space="preserve"> groups</w:t>
      </w:r>
      <w:r w:rsidRPr="00A32E08">
        <w:rPr>
          <w:rFonts w:cs="Arial"/>
          <w:sz w:val="20"/>
          <w:szCs w:val="20"/>
        </w:rPr>
        <w:t xml:space="preserve"> across Australia</w:t>
      </w:r>
      <w:r>
        <w:rPr>
          <w:rFonts w:cs="Arial"/>
          <w:sz w:val="20"/>
          <w:szCs w:val="20"/>
        </w:rPr>
        <w:t xml:space="preserve"> with more than 650,000 registered practitioners and 150,000 registered students</w:t>
      </w:r>
      <w:r w:rsidRPr="00A32E08">
        <w:rPr>
          <w:rFonts w:cs="Arial"/>
          <w:sz w:val="20"/>
          <w:szCs w:val="20"/>
        </w:rPr>
        <w:t xml:space="preserve">. </w:t>
      </w:r>
    </w:p>
    <w:p w:rsidR="00D44F1A" w:rsidRDefault="00D44F1A" w:rsidP="00D44F1A">
      <w:pPr>
        <w:spacing w:after="0"/>
        <w:rPr>
          <w:rFonts w:cs="Arial"/>
          <w:sz w:val="20"/>
          <w:szCs w:val="20"/>
        </w:rPr>
      </w:pPr>
    </w:p>
    <w:p w:rsidR="00D44F1A" w:rsidRDefault="00D44F1A" w:rsidP="00D44F1A">
      <w:pPr>
        <w:spacing w:after="0"/>
        <w:rPr>
          <w:rFonts w:cs="Arial"/>
          <w:sz w:val="20"/>
          <w:szCs w:val="20"/>
        </w:rPr>
      </w:pPr>
      <w:r w:rsidRPr="001C5F5B">
        <w:rPr>
          <w:rFonts w:cs="Arial"/>
          <w:sz w:val="20"/>
          <w:szCs w:val="20"/>
        </w:rPr>
        <w:t xml:space="preserve">There is a National Board for each health </w:t>
      </w:r>
      <w:r>
        <w:rPr>
          <w:rFonts w:cs="Arial"/>
          <w:sz w:val="20"/>
          <w:szCs w:val="20"/>
        </w:rPr>
        <w:t>p</w:t>
      </w:r>
      <w:r w:rsidRPr="001C5F5B">
        <w:rPr>
          <w:rFonts w:cs="Arial"/>
          <w:sz w:val="20"/>
          <w:szCs w:val="20"/>
        </w:rPr>
        <w:t>rofession</w:t>
      </w:r>
      <w:r>
        <w:rPr>
          <w:rFonts w:cs="Arial"/>
          <w:sz w:val="20"/>
          <w:szCs w:val="20"/>
        </w:rPr>
        <w:t xml:space="preserve"> group </w:t>
      </w:r>
      <w:r w:rsidRPr="001C5F5B">
        <w:rPr>
          <w:rFonts w:cs="Arial"/>
          <w:sz w:val="20"/>
          <w:szCs w:val="20"/>
        </w:rPr>
        <w:t xml:space="preserve">that is part of the National </w:t>
      </w:r>
      <w:r>
        <w:rPr>
          <w:rFonts w:cs="Arial"/>
          <w:sz w:val="20"/>
          <w:szCs w:val="20"/>
        </w:rPr>
        <w:t xml:space="preserve">Scheme, and the </w:t>
      </w:r>
      <w:r w:rsidRPr="001C5F5B">
        <w:rPr>
          <w:rFonts w:cs="Arial"/>
          <w:sz w:val="20"/>
          <w:szCs w:val="20"/>
        </w:rPr>
        <w:t>14 National Boards work in partnership with AHPRA.</w:t>
      </w:r>
    </w:p>
    <w:p w:rsidR="00D44F1A" w:rsidRDefault="00D44F1A" w:rsidP="00D44F1A">
      <w:pPr>
        <w:spacing w:after="0"/>
        <w:rPr>
          <w:rFonts w:cs="Arial"/>
          <w:sz w:val="20"/>
          <w:szCs w:val="20"/>
        </w:rPr>
      </w:pPr>
    </w:p>
    <w:p w:rsidR="00F26DF6" w:rsidRDefault="00F26DF6" w:rsidP="00D44F1A">
      <w:pPr>
        <w:spacing w:after="0"/>
        <w:rPr>
          <w:rFonts w:cs="Arial"/>
          <w:sz w:val="20"/>
          <w:szCs w:val="20"/>
        </w:rPr>
      </w:pPr>
    </w:p>
    <w:p w:rsidR="00F26DF6" w:rsidRDefault="00F26DF6" w:rsidP="00D44F1A">
      <w:pPr>
        <w:spacing w:after="0"/>
        <w:rPr>
          <w:rFonts w:cs="Arial"/>
          <w:sz w:val="20"/>
          <w:szCs w:val="20"/>
        </w:rPr>
      </w:pPr>
    </w:p>
    <w:p w:rsidR="00F26DF6" w:rsidRPr="00F26DF6" w:rsidRDefault="00F26DF6" w:rsidP="00F26DF6">
      <w:pPr>
        <w:spacing w:after="0"/>
        <w:jc w:val="center"/>
        <w:rPr>
          <w:rFonts w:cs="Arial"/>
          <w:b/>
          <w:sz w:val="20"/>
          <w:szCs w:val="20"/>
        </w:rPr>
      </w:pPr>
      <w:r w:rsidRPr="00F26DF6">
        <w:rPr>
          <w:rFonts w:cs="Arial"/>
          <w:b/>
          <w:sz w:val="20"/>
          <w:szCs w:val="20"/>
        </w:rPr>
        <w:lastRenderedPageBreak/>
        <w:t>This infographic shows the objectives of the National Scheme and actions that support them.</w:t>
      </w:r>
      <w:r w:rsidRPr="00F26DF6">
        <w:rPr>
          <w:rFonts w:cs="Arial"/>
          <w:b/>
          <w:noProof/>
          <w:sz w:val="20"/>
          <w:szCs w:val="20"/>
          <w:lang w:eastAsia="en-AU"/>
        </w:rPr>
        <w:drawing>
          <wp:inline distT="0" distB="0" distL="0" distR="0">
            <wp:extent cx="3543300" cy="3532505"/>
            <wp:effectExtent l="0" t="0" r="0" b="0"/>
            <wp:docPr id="6" name="Picture 1" descr="Objectives of the National Scheme and actions that support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3532505"/>
                    </a:xfrm>
                    <a:prstGeom prst="rect">
                      <a:avLst/>
                    </a:prstGeom>
                    <a:noFill/>
                    <a:ln>
                      <a:noFill/>
                    </a:ln>
                  </pic:spPr>
                </pic:pic>
              </a:graphicData>
            </a:graphic>
          </wp:inline>
        </w:drawing>
      </w:r>
    </w:p>
    <w:p w:rsidR="00F26DF6" w:rsidRPr="00F26DF6" w:rsidRDefault="00F26DF6" w:rsidP="00D44F1A">
      <w:pPr>
        <w:spacing w:after="0"/>
        <w:rPr>
          <w:rFonts w:cs="Arial"/>
          <w:sz w:val="18"/>
          <w:szCs w:val="20"/>
        </w:rPr>
      </w:pPr>
      <w:r w:rsidRPr="00F26DF6">
        <w:rPr>
          <w:rFonts w:cs="Arial"/>
          <w:sz w:val="18"/>
          <w:szCs w:val="20"/>
        </w:rPr>
        <w:t>*Nationally, except in NSW and QLD where this is managed by the Health Professional Councils Authority and the 14 health professional Councils, and the Office of the Health Ombudsman, respectively.</w:t>
      </w:r>
    </w:p>
    <w:p w:rsidR="00F26DF6" w:rsidRDefault="00F26DF6" w:rsidP="00D44F1A">
      <w:pPr>
        <w:spacing w:after="0"/>
        <w:rPr>
          <w:rFonts w:cs="Arial"/>
          <w:sz w:val="20"/>
          <w:szCs w:val="20"/>
        </w:rPr>
      </w:pPr>
    </w:p>
    <w:p w:rsidR="00D44F1A" w:rsidRDefault="00D44F1A" w:rsidP="00D44F1A">
      <w:pPr>
        <w:spacing w:after="0"/>
        <w:rPr>
          <w:rFonts w:cs="Arial"/>
          <w:sz w:val="20"/>
          <w:szCs w:val="20"/>
        </w:rPr>
      </w:pPr>
      <w:r w:rsidRPr="00A32E08">
        <w:rPr>
          <w:rFonts w:cs="Arial"/>
          <w:sz w:val="20"/>
          <w:szCs w:val="20"/>
        </w:rPr>
        <w:t>The</w:t>
      </w:r>
      <w:r>
        <w:rPr>
          <w:rFonts w:cs="Arial"/>
          <w:sz w:val="20"/>
          <w:szCs w:val="20"/>
        </w:rPr>
        <w:t xml:space="preserve"> professions regulated </w:t>
      </w:r>
      <w:r w:rsidRPr="00A32E08">
        <w:rPr>
          <w:rFonts w:cs="Arial"/>
          <w:sz w:val="20"/>
          <w:szCs w:val="20"/>
        </w:rPr>
        <w:t>are:</w:t>
      </w:r>
    </w:p>
    <w:p w:rsidR="00D44F1A" w:rsidRDefault="00D44F1A" w:rsidP="00D44F1A">
      <w:pPr>
        <w:spacing w:after="0"/>
        <w:rPr>
          <w:rFonts w:cs="Arial"/>
          <w:sz w:val="20"/>
          <w:szCs w:val="20"/>
        </w:rPr>
      </w:pP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Aboriginal and Torres Strait Islander health practice</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Chinese medicine practice</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chiropractic</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dental</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medical</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medical radiation practice</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nursing and midwifery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occupational therapy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optometry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osteopathy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pharmacy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physiotherapy</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podiatry</w:t>
      </w:r>
      <w:r>
        <w:rPr>
          <w:rFonts w:ascii="Arial" w:hAnsi="Arial" w:cs="Arial"/>
          <w:sz w:val="20"/>
          <w:szCs w:val="20"/>
        </w:rPr>
        <w:t>, and</w:t>
      </w:r>
    </w:p>
    <w:p w:rsidR="00D44F1A" w:rsidRDefault="00D44F1A" w:rsidP="00D44F1A">
      <w:pPr>
        <w:pStyle w:val="ListParagraph"/>
        <w:numPr>
          <w:ilvl w:val="0"/>
          <w:numId w:val="17"/>
        </w:numPr>
        <w:spacing w:after="0" w:line="240" w:lineRule="auto"/>
        <w:rPr>
          <w:rFonts w:ascii="Arial" w:hAnsi="Arial" w:cs="Arial"/>
          <w:sz w:val="20"/>
          <w:szCs w:val="20"/>
        </w:rPr>
      </w:pPr>
      <w:r w:rsidRPr="001C5F5B">
        <w:rPr>
          <w:rFonts w:ascii="Arial" w:hAnsi="Arial" w:cs="Arial"/>
          <w:sz w:val="20"/>
          <w:szCs w:val="20"/>
        </w:rPr>
        <w:t>psychology</w:t>
      </w:r>
      <w:r>
        <w:rPr>
          <w:rFonts w:ascii="Arial" w:hAnsi="Arial" w:cs="Arial"/>
          <w:sz w:val="20"/>
          <w:szCs w:val="20"/>
        </w:rPr>
        <w:t>.</w:t>
      </w:r>
    </w:p>
    <w:p w:rsidR="00D44F1A" w:rsidRDefault="00D44F1A" w:rsidP="00D44F1A">
      <w:pPr>
        <w:spacing w:after="0"/>
        <w:rPr>
          <w:rFonts w:cs="Arial"/>
          <w:sz w:val="20"/>
          <w:szCs w:val="20"/>
        </w:rPr>
      </w:pPr>
    </w:p>
    <w:p w:rsidR="00D44F1A" w:rsidRDefault="00D44F1A" w:rsidP="00D44F1A">
      <w:pPr>
        <w:spacing w:after="0"/>
        <w:rPr>
          <w:rFonts w:cs="Arial"/>
          <w:sz w:val="20"/>
          <w:szCs w:val="20"/>
        </w:rPr>
      </w:pPr>
      <w:r>
        <w:rPr>
          <w:rFonts w:cs="Arial"/>
          <w:sz w:val="20"/>
          <w:szCs w:val="20"/>
        </w:rPr>
        <w:t>Paramedicine is scheduled to join the National Scheme as a regulated profession from 2018 subject to passage of legislation to achieve this and to establish the 15</w:t>
      </w:r>
      <w:r w:rsidRPr="00E964D1">
        <w:rPr>
          <w:rFonts w:cs="Arial"/>
          <w:sz w:val="20"/>
          <w:szCs w:val="20"/>
          <w:vertAlign w:val="superscript"/>
        </w:rPr>
        <w:t>th</w:t>
      </w:r>
      <w:r>
        <w:rPr>
          <w:rFonts w:cs="Arial"/>
          <w:sz w:val="20"/>
          <w:szCs w:val="20"/>
        </w:rPr>
        <w:t xml:space="preserve"> National Board. </w:t>
      </w:r>
    </w:p>
    <w:p w:rsidR="00D44F1A" w:rsidRDefault="00D44F1A" w:rsidP="00D44F1A">
      <w:pPr>
        <w:spacing w:after="0"/>
        <w:rPr>
          <w:rFonts w:cs="Arial"/>
          <w:sz w:val="20"/>
          <w:szCs w:val="20"/>
        </w:rPr>
      </w:pPr>
    </w:p>
    <w:p w:rsidR="00D44F1A" w:rsidRDefault="00D44F1A" w:rsidP="00D44F1A">
      <w:pPr>
        <w:spacing w:after="0"/>
        <w:rPr>
          <w:rFonts w:cs="Arial"/>
          <w:sz w:val="20"/>
          <w:szCs w:val="20"/>
        </w:rPr>
      </w:pPr>
      <w:r>
        <w:rPr>
          <w:rFonts w:cs="Arial"/>
          <w:sz w:val="20"/>
          <w:szCs w:val="20"/>
        </w:rPr>
        <w:t>Our work is governed by the Health Practitioner Regulation National Law, as in force in each state and territory (the National Law). Our responsibilities include registering practitioners and students, setting standards, and dealing with complaints.</w:t>
      </w:r>
    </w:p>
    <w:p w:rsidR="00D44F1A" w:rsidRDefault="00D44F1A" w:rsidP="00D44F1A">
      <w:pPr>
        <w:spacing w:after="0"/>
        <w:rPr>
          <w:rFonts w:cs="Arial"/>
          <w:sz w:val="20"/>
          <w:szCs w:val="20"/>
        </w:rPr>
      </w:pPr>
    </w:p>
    <w:p w:rsidR="00D44F1A" w:rsidRPr="00A43A86" w:rsidRDefault="00D44F1A" w:rsidP="00D44F1A">
      <w:pPr>
        <w:spacing w:after="0"/>
        <w:rPr>
          <w:rFonts w:cs="Arial"/>
          <w:i/>
          <w:sz w:val="20"/>
          <w:szCs w:val="20"/>
        </w:rPr>
      </w:pPr>
      <w:r w:rsidRPr="00A43A86">
        <w:rPr>
          <w:rFonts w:cs="Arial"/>
          <w:i/>
          <w:sz w:val="20"/>
          <w:szCs w:val="20"/>
        </w:rPr>
        <w:t>Advertising and the National Law</w:t>
      </w:r>
    </w:p>
    <w:p w:rsidR="00D44F1A" w:rsidRDefault="00D44F1A" w:rsidP="00D44F1A">
      <w:pPr>
        <w:spacing w:after="0"/>
        <w:rPr>
          <w:rFonts w:cs="Arial"/>
          <w:sz w:val="20"/>
          <w:szCs w:val="20"/>
        </w:rPr>
      </w:pPr>
    </w:p>
    <w:p w:rsidR="00D44F1A" w:rsidRPr="002159D7" w:rsidRDefault="00D44F1A" w:rsidP="00D44F1A">
      <w:pPr>
        <w:spacing w:after="0"/>
        <w:rPr>
          <w:rFonts w:cs="Arial"/>
          <w:iCs/>
          <w:sz w:val="20"/>
          <w:szCs w:val="20"/>
        </w:rPr>
      </w:pPr>
      <w:r w:rsidRPr="002159D7">
        <w:rPr>
          <w:rFonts w:cs="Arial"/>
          <w:sz w:val="20"/>
          <w:szCs w:val="20"/>
        </w:rPr>
        <w:t xml:space="preserve">Section 133 of the National Law </w:t>
      </w:r>
      <w:r>
        <w:rPr>
          <w:rFonts w:cs="Arial"/>
          <w:sz w:val="20"/>
          <w:szCs w:val="20"/>
        </w:rPr>
        <w:t>makes it a criminal offence for</w:t>
      </w:r>
      <w:r w:rsidRPr="004C2F89">
        <w:rPr>
          <w:rFonts w:cs="Arial"/>
          <w:sz w:val="20"/>
          <w:szCs w:val="20"/>
        </w:rPr>
        <w:t xml:space="preserve"> a</w:t>
      </w:r>
      <w:r>
        <w:rPr>
          <w:rFonts w:cs="Arial"/>
          <w:sz w:val="20"/>
          <w:szCs w:val="20"/>
        </w:rPr>
        <w:t>ny</w:t>
      </w:r>
      <w:r w:rsidRPr="002159D7">
        <w:rPr>
          <w:rFonts w:cs="Arial"/>
          <w:iCs/>
          <w:sz w:val="20"/>
          <w:szCs w:val="20"/>
        </w:rPr>
        <w:t xml:space="preserve"> person </w:t>
      </w:r>
      <w:r>
        <w:rPr>
          <w:rFonts w:cs="Arial"/>
          <w:iCs/>
          <w:sz w:val="20"/>
          <w:szCs w:val="20"/>
        </w:rPr>
        <w:t>(including registered health practitioners) to</w:t>
      </w:r>
      <w:r w:rsidRPr="002159D7">
        <w:rPr>
          <w:rFonts w:cs="Arial"/>
          <w:iCs/>
          <w:sz w:val="20"/>
          <w:szCs w:val="20"/>
        </w:rPr>
        <w:t xml:space="preserve"> advertise</w:t>
      </w:r>
      <w:r>
        <w:rPr>
          <w:rFonts w:cs="Arial"/>
          <w:iCs/>
          <w:sz w:val="20"/>
          <w:szCs w:val="20"/>
        </w:rPr>
        <w:t xml:space="preserve"> </w:t>
      </w:r>
      <w:r w:rsidRPr="002159D7">
        <w:rPr>
          <w:rFonts w:cs="Arial"/>
          <w:iCs/>
          <w:sz w:val="20"/>
          <w:szCs w:val="20"/>
        </w:rPr>
        <w:t xml:space="preserve">a regulated health </w:t>
      </w:r>
      <w:r w:rsidRPr="008533D1">
        <w:rPr>
          <w:rFonts w:cs="Arial"/>
          <w:iCs/>
          <w:sz w:val="20"/>
          <w:szCs w:val="20"/>
        </w:rPr>
        <w:t>service</w:t>
      </w:r>
      <w:r w:rsidRPr="002159D7">
        <w:rPr>
          <w:rFonts w:cs="Arial"/>
          <w:iCs/>
          <w:sz w:val="20"/>
          <w:szCs w:val="20"/>
        </w:rPr>
        <w:t xml:space="preserve"> or a busines</w:t>
      </w:r>
      <w:r>
        <w:rPr>
          <w:rFonts w:cs="Arial"/>
          <w:iCs/>
          <w:sz w:val="20"/>
          <w:szCs w:val="20"/>
        </w:rPr>
        <w:t xml:space="preserve">s </w:t>
      </w:r>
      <w:r w:rsidRPr="002159D7">
        <w:rPr>
          <w:rFonts w:cs="Arial"/>
          <w:iCs/>
          <w:sz w:val="20"/>
          <w:szCs w:val="20"/>
        </w:rPr>
        <w:t xml:space="preserve">that provides a regulated health service, in a way that: </w:t>
      </w:r>
    </w:p>
    <w:p w:rsidR="00D44F1A" w:rsidRPr="002159D7" w:rsidRDefault="00D44F1A" w:rsidP="00D44F1A">
      <w:pPr>
        <w:spacing w:after="0"/>
        <w:rPr>
          <w:rFonts w:cs="Arial"/>
          <w:sz w:val="20"/>
          <w:szCs w:val="20"/>
        </w:rPr>
      </w:pPr>
    </w:p>
    <w:p w:rsidR="00D44F1A" w:rsidRPr="002159D7" w:rsidRDefault="00D44F1A" w:rsidP="00D44F1A">
      <w:pPr>
        <w:numPr>
          <w:ilvl w:val="0"/>
          <w:numId w:val="18"/>
        </w:numPr>
        <w:tabs>
          <w:tab w:val="clear" w:pos="720"/>
          <w:tab w:val="num" w:pos="426"/>
        </w:tabs>
        <w:spacing w:after="0"/>
        <w:ind w:left="426" w:hanging="426"/>
        <w:rPr>
          <w:rFonts w:cs="Arial"/>
          <w:sz w:val="20"/>
          <w:szCs w:val="20"/>
        </w:rPr>
      </w:pPr>
      <w:r w:rsidRPr="002159D7">
        <w:rPr>
          <w:rFonts w:cs="Arial"/>
          <w:iCs/>
          <w:sz w:val="20"/>
          <w:szCs w:val="20"/>
        </w:rPr>
        <w:t>is false, misleading or deceptive or is likely to be misleading or deceptive; or </w:t>
      </w:r>
    </w:p>
    <w:p w:rsidR="00D44F1A" w:rsidRPr="00D44F1A" w:rsidRDefault="00D44F1A" w:rsidP="00D44F1A">
      <w:pPr>
        <w:numPr>
          <w:ilvl w:val="0"/>
          <w:numId w:val="18"/>
        </w:numPr>
        <w:tabs>
          <w:tab w:val="clear" w:pos="720"/>
          <w:tab w:val="num" w:pos="426"/>
        </w:tabs>
        <w:spacing w:after="0"/>
        <w:ind w:left="426" w:hanging="426"/>
        <w:rPr>
          <w:rFonts w:cs="Arial"/>
          <w:sz w:val="20"/>
          <w:szCs w:val="20"/>
        </w:rPr>
      </w:pPr>
      <w:r w:rsidRPr="002159D7">
        <w:rPr>
          <w:rFonts w:cs="Arial"/>
          <w:iCs/>
          <w:sz w:val="20"/>
          <w:szCs w:val="20"/>
        </w:rPr>
        <w:lastRenderedPageBreak/>
        <w:t>offers a gift, discount or other inducement to attract a person to use the service or the business, unless the advertisement also states the terms and conditions of the offer; or</w:t>
      </w:r>
    </w:p>
    <w:p w:rsidR="00D44F1A" w:rsidRPr="002159D7" w:rsidRDefault="00D44F1A" w:rsidP="00D44F1A">
      <w:pPr>
        <w:tabs>
          <w:tab w:val="num" w:pos="426"/>
        </w:tabs>
        <w:spacing w:after="0"/>
        <w:ind w:left="426"/>
        <w:rPr>
          <w:rFonts w:cs="Arial"/>
          <w:sz w:val="20"/>
          <w:szCs w:val="20"/>
        </w:rPr>
      </w:pPr>
      <w:r w:rsidRPr="002159D7">
        <w:rPr>
          <w:rFonts w:cs="Arial"/>
          <w:iCs/>
          <w:sz w:val="20"/>
          <w:szCs w:val="20"/>
        </w:rPr>
        <w:t> </w:t>
      </w:r>
    </w:p>
    <w:p w:rsidR="00D44F1A" w:rsidRPr="002159D7" w:rsidRDefault="00D44F1A" w:rsidP="00D44F1A">
      <w:pPr>
        <w:numPr>
          <w:ilvl w:val="0"/>
          <w:numId w:val="18"/>
        </w:numPr>
        <w:tabs>
          <w:tab w:val="clear" w:pos="720"/>
          <w:tab w:val="num" w:pos="426"/>
        </w:tabs>
        <w:spacing w:after="0"/>
        <w:ind w:left="426" w:hanging="426"/>
        <w:rPr>
          <w:rFonts w:cs="Arial"/>
          <w:sz w:val="20"/>
          <w:szCs w:val="20"/>
        </w:rPr>
      </w:pPr>
      <w:r w:rsidRPr="002159D7">
        <w:rPr>
          <w:rFonts w:cs="Arial"/>
          <w:iCs/>
          <w:sz w:val="20"/>
          <w:szCs w:val="20"/>
        </w:rPr>
        <w:t>uses testimonials or purported testimonials about the service or business; or </w:t>
      </w:r>
    </w:p>
    <w:p w:rsidR="00D44F1A" w:rsidRPr="002159D7" w:rsidRDefault="00D44F1A" w:rsidP="00D44F1A">
      <w:pPr>
        <w:numPr>
          <w:ilvl w:val="0"/>
          <w:numId w:val="18"/>
        </w:numPr>
        <w:tabs>
          <w:tab w:val="clear" w:pos="720"/>
          <w:tab w:val="num" w:pos="426"/>
        </w:tabs>
        <w:spacing w:after="0"/>
        <w:ind w:left="426" w:hanging="426"/>
        <w:rPr>
          <w:rFonts w:cs="Arial"/>
          <w:sz w:val="20"/>
          <w:szCs w:val="20"/>
        </w:rPr>
      </w:pPr>
      <w:r w:rsidRPr="002159D7">
        <w:rPr>
          <w:rFonts w:cs="Arial"/>
          <w:iCs/>
          <w:sz w:val="20"/>
          <w:szCs w:val="20"/>
        </w:rPr>
        <w:t>creates an unreasonable expectation of beneficial treatment; or </w:t>
      </w:r>
    </w:p>
    <w:p w:rsidR="00D44F1A" w:rsidRPr="002159D7" w:rsidRDefault="00D44F1A" w:rsidP="00D44F1A">
      <w:pPr>
        <w:numPr>
          <w:ilvl w:val="0"/>
          <w:numId w:val="18"/>
        </w:numPr>
        <w:tabs>
          <w:tab w:val="clear" w:pos="720"/>
          <w:tab w:val="num" w:pos="426"/>
        </w:tabs>
        <w:spacing w:after="0"/>
        <w:ind w:left="426" w:hanging="426"/>
        <w:rPr>
          <w:rFonts w:cs="Arial"/>
          <w:sz w:val="20"/>
          <w:szCs w:val="20"/>
        </w:rPr>
      </w:pPr>
      <w:r w:rsidRPr="002159D7">
        <w:rPr>
          <w:rFonts w:cs="Arial"/>
          <w:iCs/>
          <w:sz w:val="20"/>
          <w:szCs w:val="20"/>
        </w:rPr>
        <w:t xml:space="preserve">directly or indirectly encourages the indiscriminate or unnecessary use of regulated health services. </w:t>
      </w:r>
    </w:p>
    <w:p w:rsidR="00D44F1A" w:rsidRPr="002159D7" w:rsidRDefault="00D44F1A" w:rsidP="00D44F1A">
      <w:pPr>
        <w:spacing w:after="0"/>
        <w:ind w:left="600"/>
        <w:rPr>
          <w:rFonts w:cs="Arial"/>
          <w:sz w:val="20"/>
          <w:szCs w:val="20"/>
        </w:rPr>
      </w:pPr>
    </w:p>
    <w:p w:rsidR="00D44F1A" w:rsidRDefault="00D44F1A" w:rsidP="00D44F1A">
      <w:pPr>
        <w:pStyle w:val="Default"/>
        <w:rPr>
          <w:color w:val="auto"/>
          <w:sz w:val="20"/>
          <w:szCs w:val="20"/>
        </w:rPr>
      </w:pPr>
      <w:r>
        <w:rPr>
          <w:color w:val="auto"/>
          <w:sz w:val="20"/>
          <w:szCs w:val="20"/>
        </w:rPr>
        <w:t>The definition of a</w:t>
      </w:r>
      <w:r w:rsidRPr="00E964D1">
        <w:rPr>
          <w:color w:val="auto"/>
          <w:sz w:val="20"/>
          <w:szCs w:val="20"/>
        </w:rPr>
        <w:t xml:space="preserve"> </w:t>
      </w:r>
      <w:r>
        <w:rPr>
          <w:color w:val="auto"/>
          <w:sz w:val="20"/>
          <w:szCs w:val="20"/>
        </w:rPr>
        <w:t xml:space="preserve">regulated </w:t>
      </w:r>
      <w:r w:rsidRPr="00E964D1">
        <w:rPr>
          <w:color w:val="auto"/>
          <w:sz w:val="20"/>
          <w:szCs w:val="20"/>
        </w:rPr>
        <w:t>health service</w:t>
      </w:r>
      <w:r>
        <w:rPr>
          <w:color w:val="auto"/>
          <w:sz w:val="20"/>
          <w:szCs w:val="20"/>
        </w:rPr>
        <w:t xml:space="preserve"> </w:t>
      </w:r>
      <w:r w:rsidRPr="00E964D1">
        <w:rPr>
          <w:color w:val="auto"/>
          <w:sz w:val="20"/>
          <w:szCs w:val="20"/>
        </w:rPr>
        <w:t xml:space="preserve">is very broad </w:t>
      </w:r>
      <w:r>
        <w:rPr>
          <w:color w:val="auto"/>
          <w:sz w:val="20"/>
          <w:szCs w:val="20"/>
        </w:rPr>
        <w:t>and applies</w:t>
      </w:r>
      <w:r w:rsidRPr="00E964D1">
        <w:rPr>
          <w:color w:val="auto"/>
          <w:sz w:val="20"/>
          <w:szCs w:val="20"/>
        </w:rPr>
        <w:t xml:space="preserve"> to public and private services</w:t>
      </w:r>
      <w:r>
        <w:rPr>
          <w:color w:val="auto"/>
          <w:sz w:val="20"/>
          <w:szCs w:val="20"/>
        </w:rPr>
        <w:t xml:space="preserve">. It is </w:t>
      </w:r>
      <w:r w:rsidRPr="00E964D1">
        <w:rPr>
          <w:color w:val="auto"/>
          <w:sz w:val="20"/>
          <w:szCs w:val="20"/>
        </w:rPr>
        <w:t xml:space="preserve">not constrained to direct clinical services. </w:t>
      </w:r>
    </w:p>
    <w:p w:rsidR="00D44F1A" w:rsidRDefault="00D44F1A" w:rsidP="00D44F1A">
      <w:pPr>
        <w:pStyle w:val="Default"/>
        <w:rPr>
          <w:color w:val="auto"/>
          <w:sz w:val="20"/>
          <w:szCs w:val="20"/>
        </w:rPr>
      </w:pPr>
    </w:p>
    <w:p w:rsidR="00D44F1A" w:rsidRPr="001F392A" w:rsidRDefault="00D44F1A" w:rsidP="00D44F1A">
      <w:pPr>
        <w:pStyle w:val="Default"/>
        <w:rPr>
          <w:color w:val="auto"/>
          <w:sz w:val="20"/>
          <w:szCs w:val="20"/>
        </w:rPr>
      </w:pPr>
      <w:r>
        <w:rPr>
          <w:color w:val="auto"/>
          <w:sz w:val="20"/>
          <w:szCs w:val="20"/>
        </w:rPr>
        <w:t xml:space="preserve">Currently the maximum penalty for each advertising offence is $5,000 for an individual and $10,000 for a body corporate. These relatively low penalties are related to the protective nature of the National Scheme legislation and while acting as a general deterrent, the maximum penalty available for a conviction may not always seem proportionate to the offence, particularly in the most serious cases of false advertising. </w:t>
      </w:r>
    </w:p>
    <w:p w:rsidR="00D44F1A" w:rsidRPr="001F392A" w:rsidRDefault="00D44F1A" w:rsidP="00D44F1A">
      <w:pPr>
        <w:pStyle w:val="Default"/>
        <w:rPr>
          <w:color w:val="auto"/>
          <w:sz w:val="20"/>
          <w:szCs w:val="20"/>
        </w:rPr>
      </w:pPr>
    </w:p>
    <w:p w:rsidR="00D44F1A" w:rsidRPr="00E365B4" w:rsidRDefault="00D44F1A" w:rsidP="00D44F1A">
      <w:pPr>
        <w:pStyle w:val="Default"/>
        <w:rPr>
          <w:color w:val="444444"/>
          <w:sz w:val="20"/>
          <w:szCs w:val="20"/>
        </w:rPr>
      </w:pPr>
      <w:r>
        <w:rPr>
          <w:color w:val="auto"/>
          <w:sz w:val="20"/>
          <w:szCs w:val="20"/>
        </w:rPr>
        <w:t xml:space="preserve">However, if a </w:t>
      </w:r>
      <w:r w:rsidRPr="00E964D1">
        <w:rPr>
          <w:color w:val="auto"/>
          <w:sz w:val="20"/>
          <w:szCs w:val="20"/>
        </w:rPr>
        <w:t>registered health practitioner breach</w:t>
      </w:r>
      <w:r>
        <w:rPr>
          <w:color w:val="auto"/>
          <w:sz w:val="20"/>
          <w:szCs w:val="20"/>
        </w:rPr>
        <w:t>es</w:t>
      </w:r>
      <w:r w:rsidRPr="00E964D1">
        <w:rPr>
          <w:color w:val="auto"/>
          <w:sz w:val="20"/>
          <w:szCs w:val="20"/>
        </w:rPr>
        <w:t xml:space="preserve"> the advertising offence provision of the National Law</w:t>
      </w:r>
      <w:r>
        <w:rPr>
          <w:color w:val="auto"/>
          <w:sz w:val="20"/>
          <w:szCs w:val="20"/>
        </w:rPr>
        <w:t xml:space="preserve"> there are other enforcement approaches available. A breach of the advertising offence provision by a registered practitioner is also a breach of the Board’s advertising guideline and code of conduct, so</w:t>
      </w:r>
      <w:r w:rsidRPr="00E964D1">
        <w:rPr>
          <w:color w:val="auto"/>
          <w:sz w:val="20"/>
          <w:szCs w:val="20"/>
        </w:rPr>
        <w:t xml:space="preserve"> the practitioner’s conduct is grounds for disciplinary action in relation to their registration. This is a core aspect of our enforcement approach.</w:t>
      </w:r>
    </w:p>
    <w:p w:rsidR="00D44F1A" w:rsidRDefault="00D44F1A" w:rsidP="00D44F1A">
      <w:pPr>
        <w:pStyle w:val="Default"/>
        <w:rPr>
          <w:color w:val="auto"/>
          <w:sz w:val="20"/>
          <w:szCs w:val="20"/>
        </w:rPr>
      </w:pPr>
    </w:p>
    <w:p w:rsidR="00D44F1A" w:rsidRDefault="00D44F1A" w:rsidP="00D44F1A">
      <w:pPr>
        <w:pStyle w:val="Default"/>
        <w:rPr>
          <w:color w:val="auto"/>
          <w:sz w:val="20"/>
          <w:szCs w:val="20"/>
        </w:rPr>
      </w:pPr>
      <w:r>
        <w:rPr>
          <w:color w:val="auto"/>
          <w:sz w:val="20"/>
          <w:szCs w:val="20"/>
        </w:rPr>
        <w:t>Our</w:t>
      </w:r>
      <w:r w:rsidRPr="002159D7">
        <w:rPr>
          <w:color w:val="auto"/>
          <w:sz w:val="20"/>
          <w:szCs w:val="20"/>
        </w:rPr>
        <w:t xml:space="preserve"> </w:t>
      </w:r>
      <w:r>
        <w:rPr>
          <w:color w:val="auto"/>
          <w:sz w:val="20"/>
          <w:szCs w:val="20"/>
        </w:rPr>
        <w:t xml:space="preserve">regulatory </w:t>
      </w:r>
      <w:r w:rsidRPr="002159D7">
        <w:rPr>
          <w:color w:val="auto"/>
          <w:sz w:val="20"/>
          <w:szCs w:val="20"/>
        </w:rPr>
        <w:t>work</w:t>
      </w:r>
      <w:r>
        <w:rPr>
          <w:color w:val="auto"/>
          <w:sz w:val="20"/>
          <w:szCs w:val="20"/>
        </w:rPr>
        <w:t xml:space="preserve"> on advertising compliance</w:t>
      </w:r>
      <w:r w:rsidRPr="002159D7">
        <w:rPr>
          <w:color w:val="auto"/>
          <w:sz w:val="20"/>
          <w:szCs w:val="20"/>
        </w:rPr>
        <w:t xml:space="preserve"> includes acting on complaints</w:t>
      </w:r>
      <w:r w:rsidRPr="004B4276">
        <w:rPr>
          <w:color w:val="auto"/>
          <w:sz w:val="20"/>
          <w:szCs w:val="20"/>
        </w:rPr>
        <w:t xml:space="preserve">, educating practitioners so they are aware of what is </w:t>
      </w:r>
      <w:r>
        <w:rPr>
          <w:color w:val="auto"/>
          <w:sz w:val="20"/>
          <w:szCs w:val="20"/>
        </w:rPr>
        <w:t xml:space="preserve">and what is </w:t>
      </w:r>
      <w:r w:rsidRPr="004B4276">
        <w:rPr>
          <w:color w:val="auto"/>
          <w:sz w:val="20"/>
          <w:szCs w:val="20"/>
        </w:rPr>
        <w:t>not acceptable</w:t>
      </w:r>
      <w:r w:rsidRPr="002159D7">
        <w:rPr>
          <w:color w:val="auto"/>
          <w:sz w:val="20"/>
          <w:szCs w:val="20"/>
        </w:rPr>
        <w:t xml:space="preserve"> and </w:t>
      </w:r>
      <w:r w:rsidRPr="004B4276">
        <w:rPr>
          <w:color w:val="auto"/>
          <w:sz w:val="20"/>
          <w:szCs w:val="20"/>
        </w:rPr>
        <w:t>taking</w:t>
      </w:r>
      <w:r w:rsidRPr="002159D7">
        <w:rPr>
          <w:color w:val="auto"/>
          <w:sz w:val="20"/>
          <w:szCs w:val="20"/>
        </w:rPr>
        <w:t xml:space="preserve"> action against </w:t>
      </w:r>
      <w:r w:rsidRPr="004B4276">
        <w:rPr>
          <w:color w:val="auto"/>
          <w:sz w:val="20"/>
          <w:szCs w:val="20"/>
        </w:rPr>
        <w:t xml:space="preserve">unlawful, misleading or </w:t>
      </w:r>
      <w:r w:rsidRPr="002159D7">
        <w:rPr>
          <w:color w:val="auto"/>
          <w:sz w:val="20"/>
          <w:szCs w:val="20"/>
        </w:rPr>
        <w:t xml:space="preserve">harmful </w:t>
      </w:r>
      <w:r w:rsidRPr="004B4276">
        <w:rPr>
          <w:color w:val="auto"/>
          <w:sz w:val="20"/>
          <w:szCs w:val="20"/>
        </w:rPr>
        <w:t>advertising</w:t>
      </w:r>
      <w:r>
        <w:rPr>
          <w:color w:val="auto"/>
          <w:sz w:val="20"/>
          <w:szCs w:val="20"/>
        </w:rPr>
        <w:t xml:space="preserve"> in the best interests of consumers of regulated health se</w:t>
      </w:r>
      <w:r w:rsidRPr="00A346C8">
        <w:rPr>
          <w:color w:val="auto"/>
          <w:sz w:val="20"/>
          <w:szCs w:val="20"/>
        </w:rPr>
        <w:t xml:space="preserve">rvices. </w:t>
      </w:r>
      <w:r>
        <w:rPr>
          <w:color w:val="auto"/>
          <w:sz w:val="20"/>
          <w:szCs w:val="20"/>
        </w:rPr>
        <w:t>We</w:t>
      </w:r>
      <w:r w:rsidRPr="00A346C8">
        <w:rPr>
          <w:color w:val="auto"/>
          <w:sz w:val="20"/>
          <w:szCs w:val="20"/>
        </w:rPr>
        <w:t xml:space="preserve"> also </w:t>
      </w:r>
      <w:r>
        <w:rPr>
          <w:color w:val="auto"/>
          <w:sz w:val="20"/>
          <w:szCs w:val="20"/>
        </w:rPr>
        <w:t>engage regularly</w:t>
      </w:r>
      <w:r w:rsidRPr="00A346C8">
        <w:rPr>
          <w:color w:val="auto"/>
          <w:sz w:val="20"/>
          <w:szCs w:val="20"/>
        </w:rPr>
        <w:t xml:space="preserve"> with other regulators </w:t>
      </w:r>
      <w:r>
        <w:rPr>
          <w:color w:val="auto"/>
          <w:sz w:val="20"/>
          <w:szCs w:val="20"/>
        </w:rPr>
        <w:t xml:space="preserve">who are responsible for protecting consumers </w:t>
      </w:r>
      <w:r w:rsidRPr="00A346C8">
        <w:rPr>
          <w:color w:val="auto"/>
          <w:sz w:val="20"/>
          <w:szCs w:val="20"/>
        </w:rPr>
        <w:t xml:space="preserve">such as the </w:t>
      </w:r>
      <w:r>
        <w:rPr>
          <w:color w:val="auto"/>
          <w:sz w:val="20"/>
          <w:szCs w:val="20"/>
        </w:rPr>
        <w:t>Therapeutic Goods Administration (</w:t>
      </w:r>
      <w:r w:rsidRPr="00A346C8">
        <w:rPr>
          <w:color w:val="auto"/>
          <w:sz w:val="20"/>
          <w:szCs w:val="20"/>
        </w:rPr>
        <w:t>TGA</w:t>
      </w:r>
      <w:r>
        <w:rPr>
          <w:color w:val="auto"/>
          <w:sz w:val="20"/>
          <w:szCs w:val="20"/>
        </w:rPr>
        <w:t>)</w:t>
      </w:r>
      <w:r w:rsidRPr="00A346C8">
        <w:rPr>
          <w:color w:val="auto"/>
          <w:sz w:val="20"/>
          <w:szCs w:val="20"/>
        </w:rPr>
        <w:t xml:space="preserve"> and </w:t>
      </w:r>
      <w:r>
        <w:rPr>
          <w:color w:val="auto"/>
          <w:sz w:val="20"/>
          <w:szCs w:val="20"/>
        </w:rPr>
        <w:t>Australian Competition and Consumer Commission (</w:t>
      </w:r>
      <w:r w:rsidRPr="00A346C8">
        <w:rPr>
          <w:color w:val="auto"/>
          <w:sz w:val="20"/>
          <w:szCs w:val="20"/>
        </w:rPr>
        <w:t>ACCC</w:t>
      </w:r>
      <w:r>
        <w:rPr>
          <w:color w:val="auto"/>
          <w:sz w:val="20"/>
          <w:szCs w:val="20"/>
        </w:rPr>
        <w:t>)</w:t>
      </w:r>
      <w:r w:rsidRPr="00A346C8">
        <w:rPr>
          <w:color w:val="auto"/>
          <w:sz w:val="20"/>
          <w:szCs w:val="20"/>
        </w:rPr>
        <w:t xml:space="preserve">. </w:t>
      </w:r>
    </w:p>
    <w:p w:rsidR="00D44F1A" w:rsidRPr="00240D6B" w:rsidRDefault="00D44F1A" w:rsidP="00D44F1A">
      <w:pPr>
        <w:pStyle w:val="Default"/>
        <w:rPr>
          <w:color w:val="auto"/>
          <w:sz w:val="20"/>
          <w:szCs w:val="20"/>
        </w:rPr>
      </w:pPr>
    </w:p>
    <w:p w:rsidR="00D44F1A" w:rsidRDefault="00D44F1A" w:rsidP="00D44F1A">
      <w:pPr>
        <w:spacing w:after="0"/>
        <w:rPr>
          <w:rFonts w:eastAsia="Times New Roman" w:cs="Arial"/>
          <w:sz w:val="20"/>
          <w:szCs w:val="20"/>
          <w:shd w:val="clear" w:color="auto" w:fill="FFFFFF"/>
        </w:rPr>
      </w:pPr>
      <w:r w:rsidRPr="00E964D1">
        <w:rPr>
          <w:rFonts w:eastAsiaTheme="minorEastAsia" w:cs="Arial"/>
          <w:sz w:val="20"/>
          <w:szCs w:val="20"/>
          <w:lang w:eastAsia="en-AU"/>
        </w:rPr>
        <w:t>All</w:t>
      </w:r>
      <w:r w:rsidRPr="002159D7">
        <w:rPr>
          <w:rFonts w:cs="Arial"/>
          <w:sz w:val="20"/>
          <w:szCs w:val="20"/>
        </w:rPr>
        <w:t xml:space="preserve"> </w:t>
      </w:r>
      <w:r>
        <w:rPr>
          <w:rFonts w:cs="Arial"/>
          <w:sz w:val="20"/>
          <w:szCs w:val="20"/>
        </w:rPr>
        <w:t xml:space="preserve">National Boards </w:t>
      </w:r>
      <w:r w:rsidRPr="002159D7">
        <w:rPr>
          <w:rFonts w:cs="Arial"/>
          <w:sz w:val="20"/>
          <w:szCs w:val="20"/>
        </w:rPr>
        <w:t xml:space="preserve">have published </w:t>
      </w:r>
      <w:r w:rsidRPr="002159D7">
        <w:rPr>
          <w:rFonts w:cs="Arial"/>
          <w:i/>
          <w:iCs/>
          <w:sz w:val="20"/>
          <w:szCs w:val="20"/>
        </w:rPr>
        <w:t xml:space="preserve">Guidelines for </w:t>
      </w:r>
      <w:r>
        <w:rPr>
          <w:rFonts w:cs="Arial"/>
          <w:i/>
          <w:iCs/>
          <w:sz w:val="20"/>
          <w:szCs w:val="20"/>
        </w:rPr>
        <w:t>a</w:t>
      </w:r>
      <w:r w:rsidRPr="002159D7">
        <w:rPr>
          <w:rFonts w:cs="Arial"/>
          <w:i/>
          <w:iCs/>
          <w:sz w:val="20"/>
          <w:szCs w:val="20"/>
        </w:rPr>
        <w:t xml:space="preserve">dvertising of </w:t>
      </w:r>
      <w:r>
        <w:rPr>
          <w:rFonts w:cs="Arial"/>
          <w:i/>
          <w:iCs/>
          <w:sz w:val="20"/>
          <w:szCs w:val="20"/>
        </w:rPr>
        <w:t>r</w:t>
      </w:r>
      <w:r w:rsidRPr="002159D7">
        <w:rPr>
          <w:rFonts w:cs="Arial"/>
          <w:i/>
          <w:iCs/>
          <w:sz w:val="20"/>
          <w:szCs w:val="20"/>
        </w:rPr>
        <w:t xml:space="preserve">egulated </w:t>
      </w:r>
      <w:r>
        <w:rPr>
          <w:rFonts w:cs="Arial"/>
          <w:i/>
          <w:iCs/>
          <w:sz w:val="20"/>
          <w:szCs w:val="20"/>
        </w:rPr>
        <w:t>h</w:t>
      </w:r>
      <w:r w:rsidRPr="002159D7">
        <w:rPr>
          <w:rFonts w:cs="Arial"/>
          <w:i/>
          <w:iCs/>
          <w:sz w:val="20"/>
          <w:szCs w:val="20"/>
        </w:rPr>
        <w:t xml:space="preserve">ealth </w:t>
      </w:r>
      <w:r>
        <w:rPr>
          <w:rFonts w:cs="Arial"/>
          <w:i/>
          <w:iCs/>
          <w:sz w:val="20"/>
          <w:szCs w:val="20"/>
        </w:rPr>
        <w:t>s</w:t>
      </w:r>
      <w:r w:rsidRPr="002159D7">
        <w:rPr>
          <w:rFonts w:cs="Arial"/>
          <w:i/>
          <w:iCs/>
          <w:sz w:val="20"/>
          <w:szCs w:val="20"/>
        </w:rPr>
        <w:t>ervices</w:t>
      </w:r>
      <w:r>
        <w:rPr>
          <w:rFonts w:cs="Arial"/>
          <w:sz w:val="20"/>
          <w:szCs w:val="20"/>
        </w:rPr>
        <w:t xml:space="preserve"> that explain the legal obligations of advertisers under the National Law. These apply to </w:t>
      </w:r>
      <w:r w:rsidRPr="008079C2">
        <w:rPr>
          <w:rFonts w:eastAsia="Times New Roman" w:cs="Arial"/>
          <w:sz w:val="20"/>
          <w:szCs w:val="20"/>
          <w:shd w:val="clear" w:color="auto" w:fill="FFFFFF"/>
        </w:rPr>
        <w:t xml:space="preserve">any person </w:t>
      </w:r>
      <w:r>
        <w:rPr>
          <w:rFonts w:eastAsia="Times New Roman" w:cs="Arial"/>
          <w:sz w:val="20"/>
          <w:szCs w:val="20"/>
          <w:shd w:val="clear" w:color="auto" w:fill="FFFFFF"/>
        </w:rPr>
        <w:t xml:space="preserve">or business </w:t>
      </w:r>
      <w:r w:rsidRPr="00D32183">
        <w:rPr>
          <w:rFonts w:eastAsia="Times New Roman" w:cs="Arial"/>
          <w:sz w:val="20"/>
          <w:szCs w:val="20"/>
          <w:shd w:val="clear" w:color="auto" w:fill="FFFFFF"/>
        </w:rPr>
        <w:t>advertising a regulated health service.</w:t>
      </w:r>
    </w:p>
    <w:p w:rsidR="00D44F1A" w:rsidRDefault="00D44F1A" w:rsidP="00D44F1A">
      <w:pPr>
        <w:spacing w:after="0"/>
        <w:rPr>
          <w:rFonts w:eastAsia="Times New Roman" w:cs="Arial"/>
          <w:sz w:val="20"/>
          <w:szCs w:val="20"/>
          <w:shd w:val="clear" w:color="auto" w:fill="FFFFFF"/>
        </w:rPr>
      </w:pPr>
    </w:p>
    <w:p w:rsidR="00D44F1A" w:rsidRPr="00240D6B" w:rsidRDefault="00D44F1A" w:rsidP="00D44F1A">
      <w:pPr>
        <w:rPr>
          <w:rFonts w:ascii="Times" w:eastAsia="Times New Roman" w:hAnsi="Times"/>
          <w:sz w:val="20"/>
          <w:szCs w:val="20"/>
        </w:rPr>
      </w:pPr>
      <w:r>
        <w:rPr>
          <w:rFonts w:cs="Arial"/>
          <w:sz w:val="20"/>
          <w:szCs w:val="20"/>
        </w:rPr>
        <w:t xml:space="preserve">We are continuing to publish additional information on the </w:t>
      </w:r>
      <w:hyperlink r:id="rId9" w:history="1">
        <w:r w:rsidRPr="00D32183">
          <w:rPr>
            <w:rStyle w:val="Hyperlink"/>
            <w:rFonts w:cs="Arial"/>
            <w:sz w:val="20"/>
            <w:szCs w:val="20"/>
          </w:rPr>
          <w:t>AHPRA website</w:t>
        </w:r>
      </w:hyperlink>
      <w:r>
        <w:rPr>
          <w:rFonts w:cs="Arial"/>
          <w:sz w:val="20"/>
          <w:szCs w:val="20"/>
        </w:rPr>
        <w:t xml:space="preserve"> to help practitioners</w:t>
      </w:r>
      <w:r w:rsidRPr="004B4276">
        <w:rPr>
          <w:rFonts w:cs="Arial"/>
          <w:sz w:val="20"/>
          <w:szCs w:val="20"/>
        </w:rPr>
        <w:t xml:space="preserve"> understand</w:t>
      </w:r>
      <w:r w:rsidRPr="002159D7">
        <w:rPr>
          <w:rFonts w:cs="Arial"/>
          <w:sz w:val="20"/>
          <w:szCs w:val="20"/>
        </w:rPr>
        <w:t xml:space="preserve"> advertising and the National Law, </w:t>
      </w:r>
      <w:r>
        <w:rPr>
          <w:rFonts w:cs="Arial"/>
          <w:sz w:val="20"/>
          <w:szCs w:val="20"/>
        </w:rPr>
        <w:t xml:space="preserve">and what their obligations are when it comes to responsible advertising when they advertise their services to the public. </w:t>
      </w:r>
    </w:p>
    <w:p w:rsidR="00D44F1A"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 xml:space="preserve">Compliance and enforcement strategy </w:t>
      </w:r>
    </w:p>
    <w:p w:rsidR="00D44F1A" w:rsidRDefault="00D44F1A" w:rsidP="00D44F1A">
      <w:pPr>
        <w:spacing w:after="0"/>
        <w:rPr>
          <w:rFonts w:cs="Arial"/>
          <w:sz w:val="20"/>
          <w:szCs w:val="20"/>
        </w:rPr>
      </w:pPr>
      <w:r w:rsidRPr="00E964D1">
        <w:rPr>
          <w:rFonts w:cs="Arial"/>
          <w:sz w:val="20"/>
          <w:szCs w:val="20"/>
        </w:rPr>
        <w:t xml:space="preserve">Our </w:t>
      </w:r>
      <w:r>
        <w:rPr>
          <w:rFonts w:cs="Arial"/>
          <w:sz w:val="20"/>
          <w:szCs w:val="20"/>
        </w:rPr>
        <w:t xml:space="preserve">goal </w:t>
      </w:r>
      <w:r w:rsidRPr="00B26882">
        <w:rPr>
          <w:rFonts w:cs="Arial"/>
          <w:sz w:val="20"/>
          <w:szCs w:val="20"/>
        </w:rPr>
        <w:t>is to en</w:t>
      </w:r>
      <w:r>
        <w:rPr>
          <w:rFonts w:cs="Arial"/>
          <w:sz w:val="20"/>
          <w:szCs w:val="20"/>
        </w:rPr>
        <w:t>sure</w:t>
      </w:r>
      <w:r w:rsidRPr="00E964D1">
        <w:rPr>
          <w:rFonts w:cs="Arial"/>
          <w:sz w:val="20"/>
          <w:szCs w:val="20"/>
        </w:rPr>
        <w:t xml:space="preserve"> advertising about regulated health services</w:t>
      </w:r>
      <w:r w:rsidRPr="00B26882">
        <w:rPr>
          <w:rFonts w:cs="Arial"/>
          <w:sz w:val="20"/>
          <w:szCs w:val="20"/>
        </w:rPr>
        <w:t xml:space="preserve"> </w:t>
      </w:r>
      <w:r>
        <w:rPr>
          <w:rFonts w:cs="Arial"/>
          <w:sz w:val="20"/>
          <w:szCs w:val="20"/>
        </w:rPr>
        <w:t xml:space="preserve">is </w:t>
      </w:r>
      <w:r w:rsidRPr="00E964D1">
        <w:rPr>
          <w:rFonts w:cs="Arial"/>
          <w:sz w:val="20"/>
          <w:szCs w:val="20"/>
        </w:rPr>
        <w:t xml:space="preserve">done responsibly in order to keep the public safe from false or misleading claims. </w:t>
      </w:r>
    </w:p>
    <w:p w:rsidR="00D44F1A" w:rsidRDefault="00D44F1A" w:rsidP="00D44F1A">
      <w:pPr>
        <w:spacing w:after="0"/>
        <w:rPr>
          <w:rFonts w:cs="Arial"/>
          <w:sz w:val="20"/>
          <w:szCs w:val="20"/>
        </w:rPr>
      </w:pPr>
    </w:p>
    <w:p w:rsidR="00D44F1A" w:rsidRDefault="00D44F1A" w:rsidP="00D44F1A">
      <w:pPr>
        <w:spacing w:after="120"/>
        <w:rPr>
          <w:rFonts w:cs="Arial"/>
          <w:sz w:val="20"/>
          <w:szCs w:val="20"/>
        </w:rPr>
      </w:pPr>
      <w:r>
        <w:rPr>
          <w:rFonts w:cs="Arial"/>
          <w:sz w:val="20"/>
          <w:szCs w:val="20"/>
        </w:rPr>
        <w:t xml:space="preserve">This </w:t>
      </w:r>
      <w:r w:rsidRPr="00AD6B15">
        <w:rPr>
          <w:rFonts w:cs="Arial"/>
          <w:sz w:val="20"/>
          <w:szCs w:val="20"/>
        </w:rPr>
        <w:t xml:space="preserve">goal </w:t>
      </w:r>
      <w:r>
        <w:rPr>
          <w:rFonts w:cs="Arial"/>
          <w:sz w:val="20"/>
          <w:szCs w:val="20"/>
        </w:rPr>
        <w:t xml:space="preserve">includes having advertising of regulated health services compliant with the National Law, so that the public has access to clear and correct information to help them make informed choices about their healthcare. </w:t>
      </w:r>
    </w:p>
    <w:p w:rsidR="00D44F1A" w:rsidRDefault="00D44F1A" w:rsidP="00D44F1A">
      <w:pPr>
        <w:spacing w:after="120"/>
        <w:rPr>
          <w:rFonts w:cs="Arial"/>
          <w:sz w:val="20"/>
          <w:szCs w:val="20"/>
        </w:rPr>
      </w:pPr>
      <w:r>
        <w:rPr>
          <w:rFonts w:cs="Arial"/>
          <w:sz w:val="20"/>
          <w:szCs w:val="20"/>
        </w:rPr>
        <w:t>This strategy sets out how we aim to achieve advertising compliance, including how we will use the range of regulatory tools we have available. Publishing this strategy makes it clear to everyone reading this document what our approach is and what they can expect from us.</w:t>
      </w:r>
    </w:p>
    <w:p w:rsidR="00D44F1A" w:rsidRDefault="00D44F1A" w:rsidP="00D44F1A">
      <w:pPr>
        <w:spacing w:after="120"/>
        <w:rPr>
          <w:rFonts w:cs="Arial"/>
          <w:sz w:val="20"/>
          <w:szCs w:val="20"/>
        </w:rPr>
      </w:pPr>
      <w:r>
        <w:rPr>
          <w:rFonts w:cs="Arial"/>
          <w:sz w:val="20"/>
          <w:szCs w:val="20"/>
        </w:rPr>
        <w:t xml:space="preserve">Our approach is evolving. We have included ongoing evaluation as a core part of our strategy, and we will continue to look for ways to refine and improve our approach. </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Principles</w:t>
      </w:r>
    </w:p>
    <w:p w:rsidR="00D44F1A" w:rsidRDefault="00D44F1A" w:rsidP="00D44F1A">
      <w:pPr>
        <w:spacing w:after="120"/>
        <w:rPr>
          <w:rFonts w:cs="Arial"/>
          <w:sz w:val="20"/>
          <w:szCs w:val="20"/>
        </w:rPr>
      </w:pPr>
      <w:r>
        <w:rPr>
          <w:rFonts w:cs="Arial"/>
          <w:sz w:val="20"/>
          <w:szCs w:val="20"/>
        </w:rPr>
        <w:t xml:space="preserve">Our </w:t>
      </w:r>
      <w:hyperlink r:id="rId10" w:history="1">
        <w:r w:rsidRPr="00D32183">
          <w:rPr>
            <w:rStyle w:val="Hyperlink"/>
            <w:rFonts w:cs="Arial"/>
            <w:sz w:val="20"/>
            <w:szCs w:val="20"/>
          </w:rPr>
          <w:t>regulatory principles</w:t>
        </w:r>
      </w:hyperlink>
      <w:r w:rsidRPr="00313779">
        <w:rPr>
          <w:rFonts w:cs="Arial"/>
          <w:sz w:val="20"/>
          <w:szCs w:val="20"/>
        </w:rPr>
        <w:t xml:space="preserve">  </w:t>
      </w:r>
      <w:r>
        <w:rPr>
          <w:rFonts w:cs="Arial"/>
          <w:sz w:val="20"/>
          <w:szCs w:val="20"/>
        </w:rPr>
        <w:t xml:space="preserve">underpin </w:t>
      </w:r>
      <w:r w:rsidRPr="00313779">
        <w:rPr>
          <w:rFonts w:cs="Arial"/>
          <w:sz w:val="20"/>
          <w:szCs w:val="20"/>
        </w:rPr>
        <w:t>all our work regulating Australia’s health practitioners, in the public interest.</w:t>
      </w:r>
      <w:r>
        <w:rPr>
          <w:rFonts w:cs="Arial"/>
          <w:sz w:val="20"/>
          <w:szCs w:val="20"/>
        </w:rPr>
        <w:t xml:space="preserve"> These principles shape our thinking about regulatory decision-making and encourage a responsive, risk-based approach to regulation.</w:t>
      </w:r>
    </w:p>
    <w:p w:rsidR="00D44F1A" w:rsidRPr="00313779" w:rsidRDefault="00D44F1A" w:rsidP="00D44F1A">
      <w:pPr>
        <w:spacing w:after="120"/>
        <w:rPr>
          <w:rFonts w:cs="Arial"/>
          <w:sz w:val="20"/>
          <w:szCs w:val="20"/>
        </w:rPr>
      </w:pPr>
      <w:r>
        <w:rPr>
          <w:rFonts w:cs="Arial"/>
          <w:sz w:val="20"/>
          <w:szCs w:val="20"/>
        </w:rPr>
        <w:t>Informed by our regulatory principles, the key principles that support our strategy are:</w:t>
      </w:r>
    </w:p>
    <w:p w:rsidR="00D44F1A" w:rsidRPr="00571854" w:rsidRDefault="00D44F1A" w:rsidP="00D44F1A">
      <w:pPr>
        <w:pStyle w:val="ListParagraph"/>
        <w:numPr>
          <w:ilvl w:val="0"/>
          <w:numId w:val="14"/>
        </w:numPr>
        <w:spacing w:after="0" w:line="240" w:lineRule="auto"/>
        <w:ind w:left="357" w:hanging="357"/>
        <w:contextualSpacing w:val="0"/>
        <w:rPr>
          <w:rFonts w:ascii="Arial" w:hAnsi="Arial" w:cs="Arial"/>
          <w:b/>
          <w:sz w:val="20"/>
          <w:szCs w:val="20"/>
        </w:rPr>
      </w:pPr>
      <w:r>
        <w:rPr>
          <w:rFonts w:ascii="Arial" w:hAnsi="Arial" w:cs="Arial"/>
          <w:b/>
          <w:sz w:val="20"/>
          <w:szCs w:val="20"/>
        </w:rPr>
        <w:t>R</w:t>
      </w:r>
      <w:r w:rsidRPr="00571854">
        <w:rPr>
          <w:rFonts w:ascii="Arial" w:hAnsi="Arial" w:cs="Arial"/>
          <w:b/>
          <w:sz w:val="20"/>
          <w:szCs w:val="20"/>
        </w:rPr>
        <w:t>isk-based</w:t>
      </w:r>
      <w:r>
        <w:rPr>
          <w:rFonts w:ascii="Arial" w:hAnsi="Arial" w:cs="Arial"/>
          <w:b/>
          <w:sz w:val="20"/>
          <w:szCs w:val="20"/>
        </w:rPr>
        <w:t xml:space="preserve">: </w:t>
      </w:r>
      <w:r>
        <w:rPr>
          <w:rFonts w:ascii="Arial" w:hAnsi="Arial" w:cs="Arial"/>
          <w:sz w:val="20"/>
          <w:szCs w:val="20"/>
        </w:rPr>
        <w:t>We focus our resources on the highest risk matters and those with most potential benefit for the public. We will take different types of compliance and enforcement actions depending on the risk posed.</w:t>
      </w:r>
    </w:p>
    <w:p w:rsidR="00D44F1A" w:rsidRPr="00571854" w:rsidRDefault="00D44F1A" w:rsidP="00D44F1A">
      <w:pPr>
        <w:pStyle w:val="ListParagraph"/>
        <w:numPr>
          <w:ilvl w:val="0"/>
          <w:numId w:val="14"/>
        </w:numPr>
        <w:spacing w:after="0" w:line="240" w:lineRule="auto"/>
        <w:ind w:left="357" w:hanging="357"/>
        <w:contextualSpacing w:val="0"/>
        <w:rPr>
          <w:rFonts w:ascii="Arial" w:hAnsi="Arial" w:cs="Arial"/>
          <w:b/>
          <w:sz w:val="20"/>
          <w:szCs w:val="20"/>
        </w:rPr>
      </w:pPr>
      <w:r>
        <w:rPr>
          <w:rFonts w:ascii="Arial" w:hAnsi="Arial" w:cs="Arial"/>
          <w:b/>
          <w:sz w:val="20"/>
          <w:szCs w:val="20"/>
        </w:rPr>
        <w:lastRenderedPageBreak/>
        <w:t>T</w:t>
      </w:r>
      <w:r w:rsidRPr="00571854">
        <w:rPr>
          <w:rFonts w:ascii="Arial" w:hAnsi="Arial" w:cs="Arial"/>
          <w:b/>
          <w:sz w:val="20"/>
          <w:szCs w:val="20"/>
        </w:rPr>
        <w:t>argeted</w:t>
      </w:r>
      <w:r>
        <w:rPr>
          <w:rFonts w:ascii="Arial" w:hAnsi="Arial" w:cs="Arial"/>
          <w:b/>
          <w:sz w:val="20"/>
          <w:szCs w:val="20"/>
        </w:rPr>
        <w:t xml:space="preserve">: </w:t>
      </w:r>
      <w:r>
        <w:rPr>
          <w:rFonts w:ascii="Arial" w:hAnsi="Arial" w:cs="Arial"/>
          <w:sz w:val="20"/>
          <w:szCs w:val="20"/>
        </w:rPr>
        <w:t>W</w:t>
      </w:r>
      <w:r w:rsidRPr="00A25119">
        <w:rPr>
          <w:rFonts w:ascii="Arial" w:hAnsi="Arial" w:cs="Arial"/>
          <w:sz w:val="20"/>
          <w:szCs w:val="20"/>
        </w:rPr>
        <w:t>e recognise</w:t>
      </w:r>
      <w:r>
        <w:rPr>
          <w:rFonts w:ascii="Arial" w:hAnsi="Arial" w:cs="Arial"/>
          <w:b/>
          <w:sz w:val="20"/>
          <w:szCs w:val="20"/>
        </w:rPr>
        <w:t xml:space="preserve"> </w:t>
      </w:r>
      <w:r>
        <w:rPr>
          <w:rFonts w:ascii="Arial" w:hAnsi="Arial" w:cs="Arial"/>
          <w:sz w:val="20"/>
          <w:szCs w:val="20"/>
        </w:rPr>
        <w:t>there is no</w:t>
      </w:r>
      <w:r w:rsidRPr="00571854">
        <w:rPr>
          <w:rFonts w:ascii="Arial" w:hAnsi="Arial" w:cs="Arial"/>
          <w:sz w:val="20"/>
          <w:szCs w:val="20"/>
        </w:rPr>
        <w:t xml:space="preserve"> one size fits all approach. </w:t>
      </w:r>
      <w:r>
        <w:rPr>
          <w:rFonts w:ascii="Arial" w:hAnsi="Arial" w:cs="Arial"/>
          <w:sz w:val="20"/>
          <w:szCs w:val="20"/>
        </w:rPr>
        <w:t>Our c</w:t>
      </w:r>
      <w:r w:rsidRPr="00571854">
        <w:rPr>
          <w:rFonts w:ascii="Arial" w:hAnsi="Arial" w:cs="Arial"/>
          <w:sz w:val="20"/>
          <w:szCs w:val="20"/>
        </w:rPr>
        <w:t xml:space="preserve">ompliance </w:t>
      </w:r>
      <w:r>
        <w:rPr>
          <w:rFonts w:ascii="Arial" w:hAnsi="Arial" w:cs="Arial"/>
          <w:sz w:val="20"/>
          <w:szCs w:val="20"/>
        </w:rPr>
        <w:t xml:space="preserve">and enforcement </w:t>
      </w:r>
      <w:r w:rsidRPr="00571854">
        <w:rPr>
          <w:rFonts w:ascii="Arial" w:hAnsi="Arial" w:cs="Arial"/>
          <w:sz w:val="20"/>
          <w:szCs w:val="20"/>
        </w:rPr>
        <w:t xml:space="preserve">actions </w:t>
      </w:r>
      <w:r>
        <w:rPr>
          <w:rFonts w:ascii="Arial" w:hAnsi="Arial" w:cs="Arial"/>
          <w:sz w:val="20"/>
          <w:szCs w:val="20"/>
        </w:rPr>
        <w:t>will</w:t>
      </w:r>
      <w:r w:rsidRPr="00571854">
        <w:rPr>
          <w:rFonts w:ascii="Arial" w:hAnsi="Arial" w:cs="Arial"/>
          <w:sz w:val="20"/>
          <w:szCs w:val="20"/>
        </w:rPr>
        <w:t xml:space="preserve"> be focused </w:t>
      </w:r>
      <w:r>
        <w:rPr>
          <w:rFonts w:ascii="Arial" w:hAnsi="Arial" w:cs="Arial"/>
          <w:sz w:val="20"/>
          <w:szCs w:val="20"/>
        </w:rPr>
        <w:t xml:space="preserve">and </w:t>
      </w:r>
      <w:r w:rsidRPr="00571854">
        <w:rPr>
          <w:rFonts w:ascii="Arial" w:hAnsi="Arial" w:cs="Arial"/>
          <w:sz w:val="20"/>
          <w:szCs w:val="20"/>
        </w:rPr>
        <w:t>fit for purpose</w:t>
      </w:r>
      <w:r>
        <w:rPr>
          <w:rFonts w:ascii="Arial" w:hAnsi="Arial" w:cs="Arial"/>
          <w:sz w:val="20"/>
          <w:szCs w:val="20"/>
        </w:rPr>
        <w:t xml:space="preserve">, and depend </w:t>
      </w:r>
      <w:r w:rsidRPr="00571854">
        <w:rPr>
          <w:rFonts w:ascii="Arial" w:hAnsi="Arial" w:cs="Arial"/>
          <w:sz w:val="20"/>
          <w:szCs w:val="20"/>
        </w:rPr>
        <w:t>on the type of behavio</w:t>
      </w:r>
      <w:r>
        <w:rPr>
          <w:rFonts w:ascii="Arial" w:hAnsi="Arial" w:cs="Arial"/>
          <w:sz w:val="20"/>
          <w:szCs w:val="20"/>
        </w:rPr>
        <w:t>u</w:t>
      </w:r>
      <w:r w:rsidRPr="00571854">
        <w:rPr>
          <w:rFonts w:ascii="Arial" w:hAnsi="Arial" w:cs="Arial"/>
          <w:sz w:val="20"/>
          <w:szCs w:val="20"/>
        </w:rPr>
        <w:t xml:space="preserve">r </w:t>
      </w:r>
      <w:r>
        <w:rPr>
          <w:rFonts w:ascii="Arial" w:hAnsi="Arial" w:cs="Arial"/>
          <w:sz w:val="20"/>
          <w:szCs w:val="20"/>
        </w:rPr>
        <w:t>identified. We take an evidence-based approach, including looking to research and other regulators for examples of best practice regulation and behaviour change approaches, with ongoing evaluation as a core part of our strategy.</w:t>
      </w:r>
    </w:p>
    <w:p w:rsidR="00D44F1A" w:rsidRPr="00CB56D4" w:rsidRDefault="00D44F1A" w:rsidP="00D44F1A">
      <w:pPr>
        <w:pStyle w:val="ListParagraph"/>
        <w:numPr>
          <w:ilvl w:val="0"/>
          <w:numId w:val="14"/>
        </w:numPr>
        <w:spacing w:after="0" w:line="240" w:lineRule="auto"/>
        <w:ind w:left="357" w:hanging="357"/>
        <w:contextualSpacing w:val="0"/>
        <w:rPr>
          <w:rFonts w:ascii="Arial" w:hAnsi="Arial" w:cs="Arial"/>
          <w:b/>
          <w:sz w:val="20"/>
          <w:szCs w:val="20"/>
        </w:rPr>
      </w:pPr>
      <w:r>
        <w:rPr>
          <w:rFonts w:ascii="Arial" w:hAnsi="Arial" w:cs="Arial"/>
          <w:b/>
          <w:sz w:val="20"/>
          <w:szCs w:val="20"/>
        </w:rPr>
        <w:t>P</w:t>
      </w:r>
      <w:r w:rsidRPr="00571854">
        <w:rPr>
          <w:rFonts w:ascii="Arial" w:hAnsi="Arial" w:cs="Arial"/>
          <w:b/>
          <w:sz w:val="20"/>
          <w:szCs w:val="20"/>
        </w:rPr>
        <w:t>roportionate</w:t>
      </w:r>
      <w:r>
        <w:rPr>
          <w:rFonts w:ascii="Arial" w:hAnsi="Arial" w:cs="Arial"/>
          <w:b/>
          <w:sz w:val="20"/>
          <w:szCs w:val="20"/>
        </w:rPr>
        <w:t xml:space="preserve"> – </w:t>
      </w:r>
      <w:r>
        <w:rPr>
          <w:rFonts w:ascii="Arial" w:hAnsi="Arial" w:cs="Arial"/>
          <w:sz w:val="20"/>
          <w:szCs w:val="20"/>
        </w:rPr>
        <w:t>W</w:t>
      </w:r>
      <w:r w:rsidRPr="00CB56D4">
        <w:rPr>
          <w:rFonts w:ascii="Arial" w:hAnsi="Arial" w:cs="Arial"/>
          <w:sz w:val="20"/>
          <w:szCs w:val="20"/>
        </w:rPr>
        <w:t xml:space="preserve">e take the minimum </w:t>
      </w:r>
      <w:r>
        <w:rPr>
          <w:rFonts w:ascii="Arial" w:hAnsi="Arial" w:cs="Arial"/>
          <w:sz w:val="20"/>
          <w:szCs w:val="20"/>
        </w:rPr>
        <w:t>compliance and enforcement action</w:t>
      </w:r>
      <w:r w:rsidRPr="00CB56D4">
        <w:rPr>
          <w:rFonts w:ascii="Arial" w:hAnsi="Arial" w:cs="Arial"/>
          <w:sz w:val="20"/>
          <w:szCs w:val="20"/>
        </w:rPr>
        <w:t xml:space="preserve"> appr</w:t>
      </w:r>
      <w:r>
        <w:rPr>
          <w:rFonts w:ascii="Arial" w:hAnsi="Arial" w:cs="Arial"/>
          <w:sz w:val="20"/>
          <w:szCs w:val="20"/>
        </w:rPr>
        <w:t>opriate to manage the risk posed</w:t>
      </w:r>
      <w:r w:rsidRPr="00CB56D4">
        <w:rPr>
          <w:rFonts w:ascii="Arial" w:hAnsi="Arial" w:cs="Arial"/>
          <w:sz w:val="20"/>
          <w:szCs w:val="20"/>
        </w:rPr>
        <w:t>, to protect the public</w:t>
      </w:r>
      <w:r>
        <w:rPr>
          <w:rFonts w:ascii="Arial" w:hAnsi="Arial" w:cs="Arial"/>
          <w:sz w:val="20"/>
          <w:szCs w:val="20"/>
        </w:rPr>
        <w:t>.</w:t>
      </w:r>
    </w:p>
    <w:p w:rsidR="00D44F1A" w:rsidRPr="0090666E" w:rsidRDefault="00D44F1A" w:rsidP="00D44F1A">
      <w:pPr>
        <w:pStyle w:val="ListParagraph"/>
        <w:numPr>
          <w:ilvl w:val="0"/>
          <w:numId w:val="14"/>
        </w:numPr>
        <w:spacing w:after="0" w:line="240" w:lineRule="auto"/>
        <w:ind w:left="357" w:hanging="357"/>
        <w:contextualSpacing w:val="0"/>
        <w:rPr>
          <w:rFonts w:ascii="Arial" w:hAnsi="Arial" w:cs="Arial"/>
          <w:b/>
          <w:sz w:val="20"/>
          <w:szCs w:val="20"/>
        </w:rPr>
      </w:pPr>
      <w:r>
        <w:rPr>
          <w:rFonts w:ascii="Arial" w:hAnsi="Arial" w:cs="Arial"/>
          <w:b/>
          <w:sz w:val="20"/>
          <w:szCs w:val="20"/>
        </w:rPr>
        <w:t>T</w:t>
      </w:r>
      <w:r w:rsidRPr="00571854">
        <w:rPr>
          <w:rFonts w:ascii="Arial" w:hAnsi="Arial" w:cs="Arial"/>
          <w:b/>
          <w:sz w:val="20"/>
          <w:szCs w:val="20"/>
        </w:rPr>
        <w:t>ransparent</w:t>
      </w:r>
      <w:r>
        <w:rPr>
          <w:rFonts w:ascii="Arial" w:hAnsi="Arial" w:cs="Arial"/>
          <w:b/>
          <w:sz w:val="20"/>
          <w:szCs w:val="20"/>
        </w:rPr>
        <w:t xml:space="preserve"> – </w:t>
      </w:r>
      <w:r>
        <w:rPr>
          <w:rFonts w:ascii="Arial" w:hAnsi="Arial" w:cs="Arial"/>
          <w:sz w:val="20"/>
          <w:szCs w:val="20"/>
        </w:rPr>
        <w:t>W</w:t>
      </w:r>
      <w:r w:rsidRPr="005641BB">
        <w:rPr>
          <w:rFonts w:ascii="Arial" w:hAnsi="Arial" w:cs="Arial"/>
          <w:sz w:val="20"/>
          <w:szCs w:val="20"/>
        </w:rPr>
        <w:t xml:space="preserve">e set clear </w:t>
      </w:r>
      <w:r>
        <w:rPr>
          <w:rFonts w:ascii="Arial" w:hAnsi="Arial" w:cs="Arial"/>
          <w:sz w:val="20"/>
          <w:szCs w:val="20"/>
        </w:rPr>
        <w:t xml:space="preserve">benchmarks </w:t>
      </w:r>
      <w:r w:rsidRPr="005641BB">
        <w:rPr>
          <w:rFonts w:ascii="Arial" w:hAnsi="Arial" w:cs="Arial"/>
          <w:sz w:val="20"/>
          <w:szCs w:val="20"/>
        </w:rPr>
        <w:t>for advertising of regulated health services and provide authoritative guidance on what advertisers need to do to comply</w:t>
      </w:r>
      <w:r>
        <w:rPr>
          <w:rFonts w:ascii="Arial" w:hAnsi="Arial" w:cs="Arial"/>
          <w:sz w:val="20"/>
          <w:szCs w:val="20"/>
        </w:rPr>
        <w:t>. W</w:t>
      </w:r>
      <w:r w:rsidRPr="00B53813">
        <w:rPr>
          <w:rFonts w:ascii="Arial" w:hAnsi="Arial" w:cs="Arial"/>
          <w:sz w:val="20"/>
          <w:szCs w:val="20"/>
        </w:rPr>
        <w:t xml:space="preserve">e </w:t>
      </w:r>
      <w:r>
        <w:rPr>
          <w:rFonts w:ascii="Arial" w:hAnsi="Arial" w:cs="Arial"/>
          <w:sz w:val="20"/>
          <w:szCs w:val="20"/>
        </w:rPr>
        <w:t>are</w:t>
      </w:r>
      <w:r w:rsidRPr="00B53813">
        <w:rPr>
          <w:rFonts w:ascii="Arial" w:hAnsi="Arial" w:cs="Arial"/>
          <w:sz w:val="20"/>
          <w:szCs w:val="20"/>
        </w:rPr>
        <w:t xml:space="preserve"> </w:t>
      </w:r>
      <w:r>
        <w:rPr>
          <w:rFonts w:ascii="Arial" w:hAnsi="Arial" w:cs="Arial"/>
          <w:sz w:val="20"/>
          <w:szCs w:val="20"/>
        </w:rPr>
        <w:t xml:space="preserve">clear </w:t>
      </w:r>
      <w:r w:rsidRPr="00B53813">
        <w:rPr>
          <w:rFonts w:ascii="Arial" w:hAnsi="Arial" w:cs="Arial"/>
          <w:sz w:val="20"/>
          <w:szCs w:val="20"/>
        </w:rPr>
        <w:t xml:space="preserve">about our </w:t>
      </w:r>
      <w:r>
        <w:rPr>
          <w:rFonts w:ascii="Arial" w:hAnsi="Arial" w:cs="Arial"/>
          <w:sz w:val="20"/>
          <w:szCs w:val="20"/>
        </w:rPr>
        <w:t xml:space="preserve">planned </w:t>
      </w:r>
      <w:r w:rsidRPr="00B53813">
        <w:rPr>
          <w:rFonts w:ascii="Arial" w:hAnsi="Arial" w:cs="Arial"/>
          <w:sz w:val="20"/>
          <w:szCs w:val="20"/>
        </w:rPr>
        <w:t>approa</w:t>
      </w:r>
      <w:r>
        <w:rPr>
          <w:rFonts w:ascii="Arial" w:hAnsi="Arial" w:cs="Arial"/>
          <w:sz w:val="20"/>
          <w:szCs w:val="20"/>
        </w:rPr>
        <w:t>ch to advertising compliance, and how we enforce compliance when appropriate. O</w:t>
      </w:r>
      <w:r w:rsidRPr="00CC1992">
        <w:rPr>
          <w:rFonts w:ascii="Arial" w:hAnsi="Arial" w:cs="Arial"/>
          <w:sz w:val="20"/>
          <w:szCs w:val="20"/>
        </w:rPr>
        <w:t>ur processes for decision</w:t>
      </w:r>
      <w:r>
        <w:rPr>
          <w:rFonts w:ascii="Arial" w:hAnsi="Arial" w:cs="Arial"/>
          <w:sz w:val="20"/>
          <w:szCs w:val="20"/>
        </w:rPr>
        <w:t>-</w:t>
      </w:r>
      <w:r w:rsidRPr="00CC1992">
        <w:rPr>
          <w:rFonts w:ascii="Arial" w:hAnsi="Arial" w:cs="Arial"/>
          <w:sz w:val="20"/>
          <w:szCs w:val="20"/>
        </w:rPr>
        <w:t xml:space="preserve">making and dealing with complaints support consistent </w:t>
      </w:r>
      <w:r>
        <w:rPr>
          <w:rFonts w:ascii="Arial" w:hAnsi="Arial" w:cs="Arial"/>
          <w:sz w:val="20"/>
          <w:szCs w:val="20"/>
        </w:rPr>
        <w:t xml:space="preserve">enforcement </w:t>
      </w:r>
      <w:r w:rsidRPr="00CC1992">
        <w:rPr>
          <w:rFonts w:ascii="Arial" w:hAnsi="Arial" w:cs="Arial"/>
          <w:sz w:val="20"/>
          <w:szCs w:val="20"/>
        </w:rPr>
        <w:t xml:space="preserve">outcomes and provide clarity for </w:t>
      </w:r>
      <w:r>
        <w:rPr>
          <w:rFonts w:ascii="Arial" w:hAnsi="Arial" w:cs="Arial"/>
          <w:sz w:val="20"/>
          <w:szCs w:val="20"/>
        </w:rPr>
        <w:t xml:space="preserve">the public and advertisers about what is and is not acceptable in advertising. We are committed to reporting on action taken including through publishing case studies and enforcement outcomes. </w:t>
      </w:r>
    </w:p>
    <w:p w:rsidR="00D44F1A" w:rsidRPr="00660328" w:rsidRDefault="00D44F1A" w:rsidP="00D44F1A">
      <w:pPr>
        <w:pStyle w:val="ListParagraph"/>
        <w:numPr>
          <w:ilvl w:val="0"/>
          <w:numId w:val="14"/>
        </w:numPr>
        <w:spacing w:after="120"/>
        <w:ind w:left="357" w:hanging="357"/>
        <w:contextualSpacing w:val="0"/>
        <w:rPr>
          <w:rFonts w:ascii="Arial" w:hAnsi="Arial" w:cs="Arial"/>
          <w:b/>
          <w:sz w:val="20"/>
          <w:szCs w:val="20"/>
        </w:rPr>
      </w:pPr>
      <w:r>
        <w:rPr>
          <w:rFonts w:ascii="Arial" w:hAnsi="Arial" w:cs="Arial"/>
          <w:b/>
          <w:sz w:val="20"/>
          <w:szCs w:val="20"/>
        </w:rPr>
        <w:t>E</w:t>
      </w:r>
      <w:r w:rsidRPr="00571854">
        <w:rPr>
          <w:rFonts w:ascii="Arial" w:hAnsi="Arial" w:cs="Arial"/>
          <w:b/>
          <w:sz w:val="20"/>
          <w:szCs w:val="20"/>
        </w:rPr>
        <w:t>ngaged</w:t>
      </w:r>
      <w:r>
        <w:rPr>
          <w:rFonts w:ascii="Arial" w:hAnsi="Arial" w:cs="Arial"/>
          <w:b/>
          <w:sz w:val="20"/>
          <w:szCs w:val="20"/>
        </w:rPr>
        <w:t xml:space="preserve"> – </w:t>
      </w:r>
      <w:r>
        <w:rPr>
          <w:rFonts w:ascii="Arial" w:hAnsi="Arial" w:cs="Arial"/>
          <w:sz w:val="20"/>
          <w:szCs w:val="20"/>
        </w:rPr>
        <w:t>C</w:t>
      </w:r>
      <w:r w:rsidRPr="00B53813">
        <w:rPr>
          <w:rFonts w:ascii="Arial" w:hAnsi="Arial" w:cs="Arial"/>
          <w:sz w:val="20"/>
          <w:szCs w:val="20"/>
        </w:rPr>
        <w:t xml:space="preserve">ollaboration is </w:t>
      </w:r>
      <w:r>
        <w:rPr>
          <w:rFonts w:ascii="Arial" w:hAnsi="Arial" w:cs="Arial"/>
          <w:sz w:val="20"/>
          <w:szCs w:val="20"/>
        </w:rPr>
        <w:t>central to</w:t>
      </w:r>
      <w:r w:rsidRPr="00B53813">
        <w:rPr>
          <w:rFonts w:ascii="Arial" w:hAnsi="Arial" w:cs="Arial"/>
          <w:sz w:val="20"/>
          <w:szCs w:val="20"/>
        </w:rPr>
        <w:t xml:space="preserve"> our strategy.</w:t>
      </w:r>
      <w:r>
        <w:rPr>
          <w:rFonts w:ascii="Arial" w:hAnsi="Arial" w:cs="Arial"/>
          <w:b/>
          <w:sz w:val="20"/>
          <w:szCs w:val="20"/>
        </w:rPr>
        <w:t xml:space="preserve"> </w:t>
      </w:r>
      <w:r>
        <w:rPr>
          <w:rFonts w:ascii="Arial" w:hAnsi="Arial" w:cs="Arial"/>
          <w:sz w:val="20"/>
          <w:szCs w:val="20"/>
        </w:rPr>
        <w:t>W</w:t>
      </w:r>
      <w:r w:rsidRPr="00A7579B">
        <w:rPr>
          <w:rFonts w:ascii="Arial" w:hAnsi="Arial" w:cs="Arial"/>
          <w:sz w:val="20"/>
          <w:szCs w:val="20"/>
        </w:rPr>
        <w:t xml:space="preserve">e work with the public </w:t>
      </w:r>
      <w:r>
        <w:rPr>
          <w:rFonts w:ascii="Arial" w:hAnsi="Arial" w:cs="Arial"/>
          <w:sz w:val="20"/>
          <w:szCs w:val="20"/>
        </w:rPr>
        <w:t>to understand and be responsive to their expectations. We work</w:t>
      </w:r>
      <w:r w:rsidRPr="00A7579B">
        <w:rPr>
          <w:rFonts w:ascii="Arial" w:hAnsi="Arial" w:cs="Arial"/>
          <w:sz w:val="20"/>
          <w:szCs w:val="20"/>
        </w:rPr>
        <w:t xml:space="preserve"> </w:t>
      </w:r>
      <w:r>
        <w:rPr>
          <w:rFonts w:ascii="Arial" w:hAnsi="Arial" w:cs="Arial"/>
          <w:sz w:val="20"/>
          <w:szCs w:val="20"/>
        </w:rPr>
        <w:t xml:space="preserve">with </w:t>
      </w:r>
      <w:r w:rsidRPr="00A7579B">
        <w:rPr>
          <w:rFonts w:ascii="Arial" w:hAnsi="Arial" w:cs="Arial"/>
          <w:sz w:val="20"/>
          <w:szCs w:val="20"/>
        </w:rPr>
        <w:t>professional associations</w:t>
      </w:r>
      <w:r>
        <w:rPr>
          <w:rFonts w:ascii="Arial" w:hAnsi="Arial" w:cs="Arial"/>
          <w:sz w:val="20"/>
          <w:szCs w:val="20"/>
        </w:rPr>
        <w:t xml:space="preserve"> and health practitioners</w:t>
      </w:r>
      <w:r w:rsidRPr="00A7579B">
        <w:rPr>
          <w:rFonts w:ascii="Arial" w:hAnsi="Arial" w:cs="Arial"/>
          <w:sz w:val="20"/>
          <w:szCs w:val="20"/>
        </w:rPr>
        <w:t xml:space="preserve"> to </w:t>
      </w:r>
      <w:r>
        <w:rPr>
          <w:rFonts w:ascii="Arial" w:hAnsi="Arial" w:cs="Arial"/>
          <w:sz w:val="20"/>
          <w:szCs w:val="20"/>
        </w:rPr>
        <w:t xml:space="preserve">support better advertising practices. We explore varied opportunities for learning and joint work with government, other regulators and stakeholders. </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Using a risk</w:t>
      </w:r>
      <w:r>
        <w:rPr>
          <w:rFonts w:ascii="Arial" w:hAnsi="Arial" w:cs="Arial"/>
          <w:b/>
          <w:color w:val="0070C0"/>
          <w:sz w:val="20"/>
          <w:szCs w:val="20"/>
        </w:rPr>
        <w:t>-</w:t>
      </w:r>
      <w:r w:rsidRPr="00624F35">
        <w:rPr>
          <w:rFonts w:ascii="Arial" w:hAnsi="Arial" w:cs="Arial"/>
          <w:b/>
          <w:color w:val="0070C0"/>
          <w:sz w:val="20"/>
          <w:szCs w:val="20"/>
        </w:rPr>
        <w:t xml:space="preserve">based approach </w:t>
      </w:r>
    </w:p>
    <w:p w:rsidR="00D44F1A" w:rsidRDefault="00D44F1A" w:rsidP="00D44F1A">
      <w:pPr>
        <w:spacing w:after="120"/>
        <w:rPr>
          <w:rFonts w:cs="Arial"/>
          <w:sz w:val="20"/>
          <w:szCs w:val="20"/>
        </w:rPr>
      </w:pPr>
      <w:r>
        <w:rPr>
          <w:rFonts w:cs="Arial"/>
          <w:sz w:val="20"/>
          <w:szCs w:val="20"/>
        </w:rPr>
        <w:t xml:space="preserve">We are a risk-based regulator. </w:t>
      </w:r>
      <w:r w:rsidRPr="002C6FF2">
        <w:rPr>
          <w:rFonts w:cs="Arial"/>
          <w:sz w:val="20"/>
          <w:szCs w:val="20"/>
        </w:rPr>
        <w:t>Applying a risk</w:t>
      </w:r>
      <w:r>
        <w:rPr>
          <w:rFonts w:cs="Arial"/>
          <w:sz w:val="20"/>
          <w:szCs w:val="20"/>
        </w:rPr>
        <w:t>-</w:t>
      </w:r>
      <w:r w:rsidRPr="002C6FF2">
        <w:rPr>
          <w:rFonts w:cs="Arial"/>
          <w:sz w:val="20"/>
          <w:szCs w:val="20"/>
        </w:rPr>
        <w:t xml:space="preserve">based approach to advertising compliance </w:t>
      </w:r>
      <w:r>
        <w:rPr>
          <w:rFonts w:cs="Arial"/>
          <w:sz w:val="20"/>
          <w:szCs w:val="20"/>
        </w:rPr>
        <w:t xml:space="preserve">and enforcement </w:t>
      </w:r>
      <w:r w:rsidRPr="002C6FF2">
        <w:rPr>
          <w:rFonts w:cs="Arial"/>
          <w:sz w:val="20"/>
          <w:szCs w:val="20"/>
        </w:rPr>
        <w:t xml:space="preserve">means </w:t>
      </w:r>
      <w:r>
        <w:rPr>
          <w:rFonts w:cs="Arial"/>
          <w:sz w:val="20"/>
          <w:szCs w:val="20"/>
        </w:rPr>
        <w:t>that we take</w:t>
      </w:r>
      <w:r w:rsidRPr="002C6FF2">
        <w:rPr>
          <w:rFonts w:cs="Arial"/>
          <w:sz w:val="20"/>
          <w:szCs w:val="20"/>
        </w:rPr>
        <w:t xml:space="preserve"> different actions depending on the level of risk identified and what action is likely to have the most impact in the circumstances. </w:t>
      </w:r>
    </w:p>
    <w:p w:rsidR="00D44F1A" w:rsidRDefault="00D44F1A" w:rsidP="00D44F1A">
      <w:pPr>
        <w:spacing w:after="120"/>
        <w:rPr>
          <w:rFonts w:cs="Arial"/>
          <w:sz w:val="20"/>
          <w:szCs w:val="20"/>
        </w:rPr>
      </w:pPr>
      <w:r>
        <w:rPr>
          <w:rFonts w:cs="Arial"/>
          <w:sz w:val="20"/>
          <w:szCs w:val="20"/>
        </w:rPr>
        <w:t xml:space="preserve">We will focus our resources on the highest risk matters and those with most benefit to the public, recognising that we have finite resources. </w:t>
      </w:r>
    </w:p>
    <w:p w:rsidR="00D44F1A" w:rsidRPr="002C6FF2" w:rsidRDefault="00D44F1A" w:rsidP="00D44F1A">
      <w:pPr>
        <w:spacing w:after="120"/>
        <w:rPr>
          <w:rFonts w:cs="Arial"/>
          <w:sz w:val="20"/>
          <w:szCs w:val="20"/>
        </w:rPr>
      </w:pPr>
      <w:r>
        <w:rPr>
          <w:rFonts w:cs="Arial"/>
          <w:sz w:val="20"/>
          <w:szCs w:val="20"/>
        </w:rPr>
        <w:t>Our risk-based approach is also about being responsive. Our strategy is flexible so we can respond to new or different types of risks, new or emerging ways to advertise, and evolving public expectations.</w:t>
      </w:r>
    </w:p>
    <w:p w:rsidR="00D44F1A" w:rsidRPr="00624F35" w:rsidRDefault="00D44F1A" w:rsidP="00D44F1A">
      <w:pPr>
        <w:pStyle w:val="ListParagraph"/>
        <w:numPr>
          <w:ilvl w:val="0"/>
          <w:numId w:val="15"/>
        </w:numPr>
        <w:spacing w:after="120"/>
        <w:ind w:left="357" w:hanging="357"/>
        <w:contextualSpacing w:val="0"/>
        <w:rPr>
          <w:rFonts w:ascii="Arial" w:hAnsi="Arial" w:cs="Arial"/>
          <w:b/>
          <w:sz w:val="20"/>
          <w:szCs w:val="20"/>
        </w:rPr>
      </w:pPr>
      <w:r w:rsidRPr="00624F35">
        <w:rPr>
          <w:rFonts w:ascii="Arial" w:hAnsi="Arial" w:cs="Arial"/>
          <w:b/>
          <w:sz w:val="20"/>
          <w:szCs w:val="20"/>
        </w:rPr>
        <w:t xml:space="preserve">Compliance </w:t>
      </w:r>
      <w:r>
        <w:rPr>
          <w:rFonts w:ascii="Arial" w:hAnsi="Arial" w:cs="Arial"/>
          <w:b/>
          <w:sz w:val="20"/>
          <w:szCs w:val="20"/>
        </w:rPr>
        <w:t xml:space="preserve">and enforcement </w:t>
      </w:r>
      <w:r w:rsidRPr="00624F35">
        <w:rPr>
          <w:rFonts w:ascii="Arial" w:hAnsi="Arial" w:cs="Arial"/>
          <w:b/>
          <w:sz w:val="20"/>
          <w:szCs w:val="20"/>
        </w:rPr>
        <w:t>strategies</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 xml:space="preserve">Overview of compliance </w:t>
      </w:r>
      <w:r>
        <w:rPr>
          <w:rFonts w:ascii="Arial" w:hAnsi="Arial" w:cs="Arial"/>
          <w:b/>
          <w:color w:val="0070C0"/>
          <w:sz w:val="20"/>
          <w:szCs w:val="20"/>
        </w:rPr>
        <w:t xml:space="preserve">and enforcement </w:t>
      </w:r>
      <w:r w:rsidRPr="00624F35">
        <w:rPr>
          <w:rFonts w:ascii="Arial" w:hAnsi="Arial" w:cs="Arial"/>
          <w:b/>
          <w:color w:val="0070C0"/>
          <w:sz w:val="20"/>
          <w:szCs w:val="20"/>
        </w:rPr>
        <w:t xml:space="preserve">model </w:t>
      </w:r>
    </w:p>
    <w:p w:rsidR="00D44F1A" w:rsidRDefault="00D44F1A" w:rsidP="00D44F1A">
      <w:pPr>
        <w:spacing w:after="120"/>
        <w:rPr>
          <w:rFonts w:cs="Arial"/>
          <w:sz w:val="20"/>
          <w:szCs w:val="20"/>
        </w:rPr>
      </w:pPr>
      <w:r w:rsidRPr="005F0FF7">
        <w:rPr>
          <w:rFonts w:cs="Arial"/>
          <w:sz w:val="20"/>
          <w:szCs w:val="20"/>
        </w:rPr>
        <w:t>Effective co</w:t>
      </w:r>
      <w:r>
        <w:rPr>
          <w:rFonts w:cs="Arial"/>
          <w:sz w:val="20"/>
          <w:szCs w:val="20"/>
        </w:rPr>
        <w:t>mpliance and enforcement strategies help create</w:t>
      </w:r>
      <w:r w:rsidRPr="005F0FF7">
        <w:rPr>
          <w:rFonts w:cs="Arial"/>
          <w:sz w:val="20"/>
          <w:szCs w:val="20"/>
        </w:rPr>
        <w:t xml:space="preserve"> the </w:t>
      </w:r>
      <w:r>
        <w:rPr>
          <w:rFonts w:cs="Arial"/>
          <w:sz w:val="20"/>
          <w:szCs w:val="20"/>
        </w:rPr>
        <w:t>environment</w:t>
      </w:r>
      <w:r w:rsidRPr="005F0FF7">
        <w:rPr>
          <w:rFonts w:cs="Arial"/>
          <w:sz w:val="20"/>
          <w:szCs w:val="20"/>
        </w:rPr>
        <w:t xml:space="preserve"> necessary to support voluntary compliance and build community confidence</w:t>
      </w:r>
      <w:r>
        <w:rPr>
          <w:rFonts w:cs="Arial"/>
          <w:sz w:val="20"/>
          <w:szCs w:val="20"/>
        </w:rPr>
        <w:t xml:space="preserve"> in regulation</w:t>
      </w:r>
      <w:r w:rsidRPr="005F0FF7">
        <w:rPr>
          <w:rFonts w:cs="Arial"/>
          <w:sz w:val="20"/>
          <w:szCs w:val="20"/>
        </w:rPr>
        <w:t xml:space="preserve">. </w:t>
      </w:r>
      <w:r>
        <w:rPr>
          <w:rFonts w:cs="Arial"/>
          <w:sz w:val="20"/>
          <w:szCs w:val="20"/>
        </w:rPr>
        <w:t>Such strategies promote evidence-based, well thought out and integrated approaches to</w:t>
      </w:r>
      <w:r w:rsidRPr="0051367B">
        <w:rPr>
          <w:rFonts w:cs="Arial"/>
          <w:sz w:val="20"/>
          <w:szCs w:val="20"/>
        </w:rPr>
        <w:t xml:space="preserve"> </w:t>
      </w:r>
      <w:r>
        <w:rPr>
          <w:rFonts w:cs="Arial"/>
          <w:sz w:val="20"/>
          <w:szCs w:val="20"/>
        </w:rPr>
        <w:t xml:space="preserve">achieve improved compliance behaviour. </w:t>
      </w:r>
    </w:p>
    <w:p w:rsidR="004455D7" w:rsidRDefault="00D44F1A" w:rsidP="00D44F1A">
      <w:pPr>
        <w:spacing w:after="120"/>
        <w:rPr>
          <w:rFonts w:cs="Arial"/>
          <w:sz w:val="20"/>
          <w:szCs w:val="20"/>
        </w:rPr>
      </w:pPr>
      <w:r>
        <w:rPr>
          <w:rFonts w:cs="Arial"/>
          <w:sz w:val="20"/>
          <w:szCs w:val="20"/>
        </w:rPr>
        <w:t>In developing this strategy we</w:t>
      </w:r>
      <w:r w:rsidRPr="007D7F51">
        <w:rPr>
          <w:rFonts w:cs="Arial"/>
          <w:sz w:val="20"/>
          <w:szCs w:val="20"/>
        </w:rPr>
        <w:t xml:space="preserve"> consider</w:t>
      </w:r>
      <w:r>
        <w:rPr>
          <w:rFonts w:cs="Arial"/>
          <w:sz w:val="20"/>
          <w:szCs w:val="20"/>
        </w:rPr>
        <w:t>ed</w:t>
      </w:r>
      <w:r w:rsidRPr="007D7F51">
        <w:rPr>
          <w:rFonts w:cs="Arial"/>
          <w:sz w:val="20"/>
          <w:szCs w:val="20"/>
        </w:rPr>
        <w:t xml:space="preserve"> our </w:t>
      </w:r>
      <w:r>
        <w:rPr>
          <w:rFonts w:cs="Arial"/>
          <w:sz w:val="20"/>
          <w:szCs w:val="20"/>
        </w:rPr>
        <w:t>work to</w:t>
      </w:r>
      <w:r w:rsidRPr="007D7F51">
        <w:rPr>
          <w:rFonts w:cs="Arial"/>
          <w:sz w:val="20"/>
          <w:szCs w:val="20"/>
        </w:rPr>
        <w:t xml:space="preserve"> </w:t>
      </w:r>
      <w:r>
        <w:rPr>
          <w:rFonts w:cs="Arial"/>
          <w:sz w:val="20"/>
          <w:szCs w:val="20"/>
        </w:rPr>
        <w:t xml:space="preserve">develop guidelines and other explanatory information about advertising rules and our data and experience related to receiving </w:t>
      </w:r>
      <w:r w:rsidRPr="007D7F51">
        <w:rPr>
          <w:rFonts w:cs="Arial"/>
          <w:sz w:val="20"/>
          <w:szCs w:val="20"/>
        </w:rPr>
        <w:t>complain</w:t>
      </w:r>
      <w:r>
        <w:rPr>
          <w:rFonts w:cs="Arial"/>
          <w:sz w:val="20"/>
          <w:szCs w:val="20"/>
        </w:rPr>
        <w:t>t</w:t>
      </w:r>
      <w:r w:rsidRPr="007D7F51">
        <w:rPr>
          <w:rFonts w:cs="Arial"/>
          <w:sz w:val="20"/>
          <w:szCs w:val="20"/>
        </w:rPr>
        <w:t>s</w:t>
      </w:r>
      <w:r>
        <w:rPr>
          <w:rFonts w:cs="Arial"/>
          <w:sz w:val="20"/>
          <w:szCs w:val="20"/>
        </w:rPr>
        <w:t xml:space="preserve"> about advertising. </w:t>
      </w:r>
    </w:p>
    <w:p w:rsidR="00D44F1A" w:rsidRDefault="00D44F1A" w:rsidP="00D44F1A">
      <w:pPr>
        <w:spacing w:after="120"/>
        <w:rPr>
          <w:rFonts w:cs="Arial"/>
          <w:sz w:val="20"/>
          <w:szCs w:val="20"/>
        </w:rPr>
      </w:pPr>
      <w:r>
        <w:rPr>
          <w:rFonts w:cs="Arial"/>
          <w:sz w:val="20"/>
          <w:szCs w:val="20"/>
        </w:rPr>
        <w:t>We also</w:t>
      </w:r>
      <w:r w:rsidRPr="007D7F51">
        <w:rPr>
          <w:rFonts w:cs="Arial"/>
          <w:sz w:val="20"/>
          <w:szCs w:val="20"/>
        </w:rPr>
        <w:t xml:space="preserve"> review</w:t>
      </w:r>
      <w:r>
        <w:rPr>
          <w:rFonts w:cs="Arial"/>
          <w:sz w:val="20"/>
          <w:szCs w:val="20"/>
        </w:rPr>
        <w:t>ed</w:t>
      </w:r>
      <w:r w:rsidRPr="007D7F51">
        <w:rPr>
          <w:rFonts w:cs="Arial"/>
          <w:sz w:val="20"/>
          <w:szCs w:val="20"/>
        </w:rPr>
        <w:t xml:space="preserve"> the approaches of other regulators and </w:t>
      </w:r>
      <w:r>
        <w:rPr>
          <w:rFonts w:cs="Arial"/>
          <w:sz w:val="20"/>
          <w:szCs w:val="20"/>
        </w:rPr>
        <w:t>have drawn on feedback from</w:t>
      </w:r>
      <w:r w:rsidRPr="007D7F51">
        <w:rPr>
          <w:rFonts w:cs="Arial"/>
          <w:sz w:val="20"/>
          <w:szCs w:val="20"/>
        </w:rPr>
        <w:t xml:space="preserve"> stakeholders</w:t>
      </w:r>
      <w:r>
        <w:rPr>
          <w:rFonts w:cs="Arial"/>
          <w:sz w:val="20"/>
          <w:szCs w:val="20"/>
        </w:rPr>
        <w:t xml:space="preserve">. Our ongoing work with consumers to gain a better understanding of their experience of healthcare advertising is important, and will help us design interventions that support good outcomes for consumers.  </w:t>
      </w:r>
    </w:p>
    <w:p w:rsidR="00D44F1A" w:rsidRDefault="00D44F1A" w:rsidP="00D44F1A">
      <w:pPr>
        <w:spacing w:after="120"/>
        <w:rPr>
          <w:rFonts w:cs="Arial"/>
          <w:sz w:val="20"/>
          <w:szCs w:val="20"/>
        </w:rPr>
      </w:pPr>
      <w:r>
        <w:rPr>
          <w:rFonts w:cs="Arial"/>
          <w:sz w:val="20"/>
          <w:szCs w:val="20"/>
        </w:rPr>
        <w:t xml:space="preserve">There are many factors that influence whether registered health practitioners and other advertisers comply with the advertising provisions for regulated health services under the National Law. These include their professional experience, knowledge of the requirements, how effectively we communicate with them about their responsibilities, and professional norms, practice and expectations within the professions. There are also other general factors, including social and financial drivers. </w:t>
      </w:r>
    </w:p>
    <w:p w:rsidR="00D44F1A" w:rsidRDefault="00D44F1A" w:rsidP="00D44F1A">
      <w:pPr>
        <w:spacing w:after="120"/>
        <w:rPr>
          <w:rFonts w:cs="Arial"/>
          <w:sz w:val="20"/>
          <w:szCs w:val="20"/>
        </w:rPr>
      </w:pPr>
      <w:r>
        <w:rPr>
          <w:rFonts w:cs="Arial"/>
          <w:sz w:val="20"/>
          <w:szCs w:val="20"/>
        </w:rPr>
        <w:t>In developing our approach we have considered all these factors that influence compliance behaviour, and have made judgements about advertiser attitudes to compliance. This helps us identify the most appropriate and targeted compliance and enforcement strategies to target different groups of advertisers.</w:t>
      </w:r>
    </w:p>
    <w:p w:rsidR="00D44F1A" w:rsidRDefault="00D44F1A" w:rsidP="00D44F1A">
      <w:pPr>
        <w:spacing w:after="240"/>
        <w:rPr>
          <w:rFonts w:cs="Arial"/>
          <w:sz w:val="20"/>
          <w:szCs w:val="20"/>
        </w:rPr>
      </w:pPr>
      <w:r w:rsidRPr="004735C6">
        <w:rPr>
          <w:rFonts w:cs="Arial"/>
          <w:sz w:val="20"/>
          <w:szCs w:val="20"/>
        </w:rPr>
        <w:t xml:space="preserve">Regulatory research has developed a compliance pyramid which </w:t>
      </w:r>
      <w:r>
        <w:rPr>
          <w:rFonts w:cs="Arial"/>
          <w:sz w:val="20"/>
          <w:szCs w:val="20"/>
        </w:rPr>
        <w:t>is a well-established model for thinking about compliance attitudes and developing targeted strategies</w:t>
      </w:r>
      <w:r>
        <w:rPr>
          <w:rStyle w:val="FootnoteReference"/>
          <w:szCs w:val="20"/>
        </w:rPr>
        <w:footnoteReference w:id="2"/>
      </w:r>
      <w:r>
        <w:rPr>
          <w:rFonts w:cs="Arial"/>
          <w:sz w:val="20"/>
          <w:szCs w:val="20"/>
        </w:rPr>
        <w:t xml:space="preserve">. A key element of this model is acknowledging that most people are willing or try to do the right thing. </w:t>
      </w:r>
    </w:p>
    <w:p w:rsidR="00D44F1A" w:rsidRPr="005F0FF7" w:rsidRDefault="00D44F1A" w:rsidP="00D44F1A">
      <w:pPr>
        <w:spacing w:after="120"/>
        <w:rPr>
          <w:rFonts w:cs="Arial"/>
          <w:sz w:val="20"/>
          <w:szCs w:val="20"/>
        </w:rPr>
      </w:pPr>
      <w:r>
        <w:rPr>
          <w:rFonts w:cs="Arial"/>
          <w:sz w:val="20"/>
          <w:szCs w:val="20"/>
        </w:rPr>
        <w:lastRenderedPageBreak/>
        <w:t xml:space="preserve">          </w:t>
      </w:r>
      <w:r>
        <w:rPr>
          <w:rFonts w:cs="Arial"/>
          <w:noProof/>
          <w:sz w:val="20"/>
          <w:szCs w:val="20"/>
          <w:lang w:eastAsia="en-AU"/>
        </w:rPr>
        <w:drawing>
          <wp:inline distT="0" distB="0" distL="0" distR="0">
            <wp:extent cx="4337290" cy="3113826"/>
            <wp:effectExtent l="0" t="0" r="6350" b="0"/>
            <wp:docPr id="3" name="Picture 1" descr="Compliance and enforcement responses aim to support full voluntary complai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riffiths\AppData\Local\Microsoft\Windows\Temporary Internet Files\Content.Outlook\AWXS82PY\Compliance diagram - 20170125.png"/>
                    <pic:cNvPicPr>
                      <a:picLocks noChangeAspect="1" noChangeArrowheads="1"/>
                    </pic:cNvPicPr>
                  </pic:nvPicPr>
                  <pic:blipFill>
                    <a:blip r:embed="rId11"/>
                    <a:srcRect/>
                    <a:stretch>
                      <a:fillRect/>
                    </a:stretch>
                  </pic:blipFill>
                  <pic:spPr bwMode="auto">
                    <a:xfrm>
                      <a:off x="0" y="0"/>
                      <a:ext cx="4340589" cy="3116194"/>
                    </a:xfrm>
                    <a:prstGeom prst="rect">
                      <a:avLst/>
                    </a:prstGeom>
                    <a:noFill/>
                    <a:ln w="9525">
                      <a:noFill/>
                      <a:miter lim="800000"/>
                      <a:headEnd/>
                      <a:tailEnd/>
                    </a:ln>
                  </pic:spPr>
                </pic:pic>
              </a:graphicData>
            </a:graphic>
          </wp:inline>
        </w:drawing>
      </w:r>
    </w:p>
    <w:p w:rsidR="00D44F1A" w:rsidRPr="00D32183" w:rsidRDefault="00D44F1A" w:rsidP="00D44F1A">
      <w:pPr>
        <w:ind w:left="2160" w:firstLine="720"/>
        <w:rPr>
          <w:rFonts w:cs="Arial"/>
          <w:b/>
          <w:sz w:val="16"/>
          <w:szCs w:val="16"/>
        </w:rPr>
      </w:pPr>
      <w:r w:rsidRPr="00D32183">
        <w:rPr>
          <w:rFonts w:cs="Arial"/>
          <w:b/>
          <w:sz w:val="16"/>
          <w:szCs w:val="16"/>
        </w:rPr>
        <w:t>The compliance pyramid</w:t>
      </w:r>
    </w:p>
    <w:p w:rsidR="00D44F1A" w:rsidRDefault="00D44F1A" w:rsidP="00D44F1A">
      <w:pPr>
        <w:spacing w:after="120"/>
        <w:rPr>
          <w:rFonts w:cs="Arial"/>
          <w:sz w:val="20"/>
          <w:szCs w:val="20"/>
        </w:rPr>
      </w:pPr>
      <w:r w:rsidRPr="00EE424A">
        <w:rPr>
          <w:rFonts w:cs="Arial"/>
          <w:sz w:val="20"/>
          <w:szCs w:val="20"/>
        </w:rPr>
        <w:t xml:space="preserve">We know that most practitioners want to comply with their professional obligations, and most people (including advertisers who </w:t>
      </w:r>
      <w:r>
        <w:rPr>
          <w:rFonts w:cs="Arial"/>
          <w:sz w:val="20"/>
          <w:szCs w:val="20"/>
        </w:rPr>
        <w:t>are not</w:t>
      </w:r>
      <w:r w:rsidRPr="00EE424A">
        <w:rPr>
          <w:rFonts w:cs="Arial"/>
          <w:sz w:val="20"/>
          <w:szCs w:val="20"/>
        </w:rPr>
        <w:t xml:space="preserve"> registered practitioners) want to comply with the law. The main focus of our strategy is to </w:t>
      </w:r>
      <w:r>
        <w:rPr>
          <w:rFonts w:cs="Arial"/>
          <w:sz w:val="20"/>
          <w:szCs w:val="20"/>
        </w:rPr>
        <w:t>make compliance easier for those who are willing to do the right thing</w:t>
      </w:r>
      <w:r w:rsidRPr="00EE424A">
        <w:rPr>
          <w:rFonts w:cs="Arial"/>
          <w:sz w:val="20"/>
          <w:szCs w:val="20"/>
        </w:rPr>
        <w:t xml:space="preserve">. We recognise some people need more help to comply, and </w:t>
      </w:r>
      <w:r>
        <w:rPr>
          <w:rFonts w:cs="Arial"/>
          <w:sz w:val="20"/>
          <w:szCs w:val="20"/>
        </w:rPr>
        <w:t>we will</w:t>
      </w:r>
      <w:r w:rsidRPr="00EE424A">
        <w:rPr>
          <w:rFonts w:cs="Arial"/>
          <w:sz w:val="20"/>
          <w:szCs w:val="20"/>
        </w:rPr>
        <w:t xml:space="preserve"> target activities to help this group </w:t>
      </w:r>
      <w:r>
        <w:rPr>
          <w:rFonts w:cs="Arial"/>
          <w:sz w:val="20"/>
          <w:szCs w:val="20"/>
        </w:rPr>
        <w:t>achieve compliance</w:t>
      </w:r>
      <w:r w:rsidRPr="00EE424A">
        <w:rPr>
          <w:rFonts w:cs="Arial"/>
          <w:sz w:val="20"/>
          <w:szCs w:val="20"/>
        </w:rPr>
        <w:t>.</w:t>
      </w:r>
    </w:p>
    <w:p w:rsidR="00D44F1A" w:rsidRPr="00EE424A" w:rsidRDefault="00D44F1A" w:rsidP="00D44F1A">
      <w:pPr>
        <w:spacing w:after="120"/>
        <w:rPr>
          <w:rFonts w:cs="Arial"/>
          <w:sz w:val="20"/>
          <w:szCs w:val="20"/>
        </w:rPr>
      </w:pPr>
      <w:r w:rsidRPr="00EE424A">
        <w:rPr>
          <w:rFonts w:cs="Arial"/>
          <w:sz w:val="20"/>
          <w:szCs w:val="20"/>
        </w:rPr>
        <w:t>We also recognise that there are a small number of people</w:t>
      </w:r>
      <w:r>
        <w:rPr>
          <w:rFonts w:cs="Arial"/>
          <w:sz w:val="20"/>
          <w:szCs w:val="20"/>
        </w:rPr>
        <w:t>,</w:t>
      </w:r>
      <w:r w:rsidRPr="00EE424A">
        <w:rPr>
          <w:rFonts w:cs="Arial"/>
          <w:sz w:val="20"/>
          <w:szCs w:val="20"/>
        </w:rPr>
        <w:t xml:space="preserve"> both practitioners and other advertisers</w:t>
      </w:r>
      <w:r>
        <w:rPr>
          <w:rFonts w:cs="Arial"/>
          <w:sz w:val="20"/>
          <w:szCs w:val="20"/>
        </w:rPr>
        <w:t>,</w:t>
      </w:r>
      <w:r w:rsidRPr="00EE424A">
        <w:rPr>
          <w:rFonts w:cs="Arial"/>
          <w:sz w:val="20"/>
          <w:szCs w:val="20"/>
        </w:rPr>
        <w:t xml:space="preserve"> </w:t>
      </w:r>
      <w:r>
        <w:rPr>
          <w:rFonts w:cs="Arial"/>
          <w:sz w:val="20"/>
          <w:szCs w:val="20"/>
        </w:rPr>
        <w:t>who</w:t>
      </w:r>
      <w:r w:rsidRPr="00EE424A">
        <w:rPr>
          <w:rFonts w:cs="Arial"/>
          <w:sz w:val="20"/>
          <w:szCs w:val="20"/>
        </w:rPr>
        <w:t xml:space="preserve"> will need a bigger push to comply. This is where we target our enforcement action.</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Risk assessment framework</w:t>
      </w:r>
    </w:p>
    <w:p w:rsidR="00D44F1A" w:rsidRDefault="00D44F1A" w:rsidP="00D44F1A">
      <w:pPr>
        <w:pStyle w:val="AHPRASubheading"/>
        <w:rPr>
          <w:b w:val="0"/>
          <w:color w:val="auto"/>
        </w:rPr>
      </w:pPr>
      <w:r>
        <w:rPr>
          <w:b w:val="0"/>
          <w:color w:val="auto"/>
        </w:rPr>
        <w:t xml:space="preserve">All complaints that raise concerns about alleged </w:t>
      </w:r>
      <w:r w:rsidR="00A250D4">
        <w:rPr>
          <w:b w:val="0"/>
          <w:color w:val="auto"/>
        </w:rPr>
        <w:t xml:space="preserve">criminal </w:t>
      </w:r>
      <w:r>
        <w:rPr>
          <w:b w:val="0"/>
          <w:color w:val="auto"/>
        </w:rPr>
        <w:t xml:space="preserve">offences under the National Law are risk assessed. The issues considered when risk assessing includes the offence type and risk (such as allegations of potential or actual harm).                       </w:t>
      </w:r>
    </w:p>
    <w:p w:rsidR="00D44F1A" w:rsidRDefault="00D44F1A" w:rsidP="00D44F1A">
      <w:pPr>
        <w:spacing w:after="120"/>
        <w:rPr>
          <w:rFonts w:cs="Arial"/>
          <w:sz w:val="20"/>
          <w:szCs w:val="20"/>
        </w:rPr>
      </w:pPr>
      <w:r>
        <w:rPr>
          <w:rFonts w:cs="Arial"/>
          <w:sz w:val="20"/>
          <w:szCs w:val="20"/>
        </w:rPr>
        <w:t>Types of matters we have identified as high risk (critical or major) include advertising practices that:</w:t>
      </w:r>
    </w:p>
    <w:p w:rsidR="00D44F1A" w:rsidRPr="003804F0" w:rsidRDefault="00D44F1A" w:rsidP="00D44F1A">
      <w:pPr>
        <w:pStyle w:val="ListParagraph"/>
        <w:numPr>
          <w:ilvl w:val="0"/>
          <w:numId w:val="21"/>
        </w:numPr>
        <w:spacing w:after="120"/>
        <w:ind w:left="426" w:hanging="426"/>
        <w:rPr>
          <w:rFonts w:ascii="Arial" w:hAnsi="Arial" w:cs="Arial"/>
          <w:sz w:val="20"/>
          <w:szCs w:val="20"/>
        </w:rPr>
      </w:pPr>
      <w:r w:rsidRPr="00474614">
        <w:rPr>
          <w:rFonts w:ascii="Arial" w:eastAsia="Cambria" w:hAnsi="Arial" w:cs="Arial"/>
          <w:sz w:val="20"/>
          <w:szCs w:val="20"/>
          <w:lang w:val="en-AU"/>
        </w:rPr>
        <w:t xml:space="preserve">raise concerns </w:t>
      </w:r>
      <w:r>
        <w:rPr>
          <w:rFonts w:ascii="Arial" w:eastAsia="Cambria" w:hAnsi="Arial" w:cs="Arial"/>
          <w:sz w:val="20"/>
          <w:szCs w:val="20"/>
          <w:lang w:val="en-AU"/>
        </w:rPr>
        <w:t>of actual harm to</w:t>
      </w:r>
      <w:r w:rsidRPr="00474614">
        <w:rPr>
          <w:rFonts w:ascii="Arial" w:eastAsia="Cambria" w:hAnsi="Arial" w:cs="Arial"/>
          <w:sz w:val="20"/>
          <w:szCs w:val="20"/>
          <w:lang w:val="en-AU"/>
        </w:rPr>
        <w:t xml:space="preserve"> </w:t>
      </w:r>
      <w:r>
        <w:rPr>
          <w:rFonts w:ascii="Arial" w:eastAsia="Cambria" w:hAnsi="Arial" w:cs="Arial"/>
          <w:sz w:val="20"/>
          <w:szCs w:val="20"/>
          <w:lang w:val="en-AU"/>
        </w:rPr>
        <w:t>consumers</w:t>
      </w:r>
    </w:p>
    <w:p w:rsidR="00D44F1A" w:rsidRDefault="00D44F1A" w:rsidP="00D44F1A">
      <w:pPr>
        <w:pStyle w:val="ListParagraph"/>
        <w:numPr>
          <w:ilvl w:val="0"/>
          <w:numId w:val="21"/>
        </w:numPr>
        <w:spacing w:after="120"/>
        <w:ind w:left="426" w:hanging="426"/>
        <w:rPr>
          <w:rFonts w:ascii="Arial" w:hAnsi="Arial" w:cs="Arial"/>
          <w:sz w:val="20"/>
          <w:szCs w:val="20"/>
        </w:rPr>
      </w:pPr>
      <w:r>
        <w:rPr>
          <w:rFonts w:ascii="Arial" w:hAnsi="Arial" w:cs="Arial"/>
          <w:sz w:val="20"/>
          <w:szCs w:val="20"/>
        </w:rPr>
        <w:t>make misleading claims about curing serious illnesses, such as cancer</w:t>
      </w:r>
    </w:p>
    <w:p w:rsidR="00D44F1A" w:rsidRDefault="00D44F1A" w:rsidP="00D44F1A">
      <w:pPr>
        <w:pStyle w:val="ListParagraph"/>
        <w:numPr>
          <w:ilvl w:val="0"/>
          <w:numId w:val="21"/>
        </w:numPr>
        <w:spacing w:after="120"/>
        <w:ind w:left="426" w:hanging="426"/>
        <w:rPr>
          <w:rFonts w:ascii="Arial" w:hAnsi="Arial" w:cs="Arial"/>
          <w:sz w:val="20"/>
          <w:szCs w:val="20"/>
        </w:rPr>
      </w:pPr>
      <w:r w:rsidRPr="00001961">
        <w:rPr>
          <w:rFonts w:ascii="Arial" w:hAnsi="Arial" w:cs="Arial"/>
          <w:sz w:val="20"/>
          <w:szCs w:val="20"/>
        </w:rPr>
        <w:t>are targeted at patient groups</w:t>
      </w:r>
      <w:r>
        <w:rPr>
          <w:rFonts w:ascii="Arial" w:hAnsi="Arial" w:cs="Arial"/>
          <w:sz w:val="20"/>
          <w:szCs w:val="20"/>
        </w:rPr>
        <w:t xml:space="preserve"> that may be particularly vulnerable</w:t>
      </w:r>
      <w:r w:rsidRPr="00001961">
        <w:rPr>
          <w:rFonts w:ascii="Arial" w:hAnsi="Arial" w:cs="Arial"/>
          <w:sz w:val="20"/>
          <w:szCs w:val="20"/>
        </w:rPr>
        <w:t xml:space="preserve">, </w:t>
      </w:r>
      <w:r>
        <w:rPr>
          <w:rFonts w:ascii="Arial" w:hAnsi="Arial" w:cs="Arial"/>
          <w:sz w:val="20"/>
          <w:szCs w:val="20"/>
        </w:rPr>
        <w:t>such as</w:t>
      </w:r>
      <w:r w:rsidRPr="00001961">
        <w:rPr>
          <w:rFonts w:ascii="Arial" w:hAnsi="Arial" w:cs="Arial"/>
          <w:sz w:val="20"/>
          <w:szCs w:val="20"/>
        </w:rPr>
        <w:t xml:space="preserve"> </w:t>
      </w:r>
      <w:r>
        <w:rPr>
          <w:rFonts w:ascii="Arial" w:hAnsi="Arial" w:cs="Arial"/>
          <w:sz w:val="20"/>
          <w:szCs w:val="20"/>
        </w:rPr>
        <w:t>advertising that</w:t>
      </w:r>
      <w:r w:rsidRPr="00001961">
        <w:rPr>
          <w:rFonts w:ascii="Arial" w:hAnsi="Arial" w:cs="Arial"/>
          <w:sz w:val="20"/>
          <w:szCs w:val="20"/>
        </w:rPr>
        <w:t xml:space="preserve"> </w:t>
      </w:r>
      <w:r>
        <w:rPr>
          <w:rFonts w:ascii="Arial" w:hAnsi="Arial" w:cs="Arial"/>
          <w:sz w:val="20"/>
          <w:szCs w:val="20"/>
        </w:rPr>
        <w:t xml:space="preserve">is directed at consumers with serious illnesses or parents of children with certain childhood conditions that are not easily treated </w:t>
      </w:r>
    </w:p>
    <w:p w:rsidR="00D44F1A" w:rsidRPr="00D32183" w:rsidRDefault="00D44F1A" w:rsidP="00D44F1A">
      <w:pPr>
        <w:pStyle w:val="ListParagraph"/>
        <w:numPr>
          <w:ilvl w:val="0"/>
          <w:numId w:val="21"/>
        </w:numPr>
        <w:spacing w:after="120"/>
        <w:ind w:left="426" w:hanging="426"/>
        <w:rPr>
          <w:rFonts w:ascii="Arial" w:eastAsia="Cambria" w:hAnsi="Arial" w:cs="Arial"/>
          <w:sz w:val="20"/>
          <w:szCs w:val="20"/>
          <w:lang w:val="en-AU"/>
        </w:rPr>
      </w:pPr>
      <w:r>
        <w:rPr>
          <w:rFonts w:ascii="Arial" w:hAnsi="Arial" w:cs="Arial"/>
          <w:sz w:val="20"/>
          <w:szCs w:val="20"/>
        </w:rPr>
        <w:t xml:space="preserve">are widespread in a profession, and </w:t>
      </w:r>
      <w:r w:rsidRPr="005E1A0E">
        <w:rPr>
          <w:rFonts w:ascii="Arial" w:hAnsi="Arial" w:cs="Arial"/>
          <w:sz w:val="20"/>
          <w:szCs w:val="20"/>
        </w:rPr>
        <w:t xml:space="preserve">have potential to have significant </w:t>
      </w:r>
      <w:r>
        <w:rPr>
          <w:rFonts w:ascii="Arial" w:hAnsi="Arial" w:cs="Arial"/>
          <w:sz w:val="20"/>
          <w:szCs w:val="20"/>
        </w:rPr>
        <w:t xml:space="preserve">adverse </w:t>
      </w:r>
      <w:r w:rsidRPr="005E1A0E">
        <w:rPr>
          <w:rFonts w:ascii="Arial" w:hAnsi="Arial" w:cs="Arial"/>
          <w:sz w:val="20"/>
          <w:szCs w:val="20"/>
        </w:rPr>
        <w:t>impacts on health care choices</w:t>
      </w:r>
      <w:r>
        <w:rPr>
          <w:rFonts w:ascii="Arial" w:hAnsi="Arial" w:cs="Arial"/>
          <w:sz w:val="20"/>
          <w:szCs w:val="20"/>
        </w:rPr>
        <w:t>,</w:t>
      </w:r>
      <w:r w:rsidRPr="005E1A0E">
        <w:rPr>
          <w:rFonts w:ascii="Arial" w:hAnsi="Arial" w:cs="Arial"/>
          <w:sz w:val="20"/>
          <w:szCs w:val="20"/>
        </w:rPr>
        <w:t xml:space="preserve"> and</w:t>
      </w:r>
      <w:r>
        <w:rPr>
          <w:rFonts w:ascii="Arial" w:hAnsi="Arial" w:cs="Arial"/>
          <w:sz w:val="20"/>
          <w:szCs w:val="20"/>
        </w:rPr>
        <w:t>/or</w:t>
      </w:r>
      <w:r w:rsidRPr="005E1A0E">
        <w:rPr>
          <w:rFonts w:ascii="Arial" w:hAnsi="Arial" w:cs="Arial"/>
          <w:sz w:val="20"/>
          <w:szCs w:val="20"/>
        </w:rPr>
        <w:t xml:space="preserve"> </w:t>
      </w:r>
    </w:p>
    <w:p w:rsidR="00D44F1A" w:rsidRPr="00D32183" w:rsidRDefault="00D44F1A" w:rsidP="00D44F1A">
      <w:pPr>
        <w:pStyle w:val="ListParagraph"/>
        <w:numPr>
          <w:ilvl w:val="0"/>
          <w:numId w:val="21"/>
        </w:numPr>
        <w:spacing w:after="120"/>
        <w:ind w:left="426" w:hanging="426"/>
        <w:rPr>
          <w:rFonts w:ascii="Arial" w:eastAsia="Cambria" w:hAnsi="Arial" w:cs="Arial"/>
          <w:sz w:val="20"/>
          <w:szCs w:val="20"/>
          <w:lang w:val="en-AU"/>
        </w:rPr>
      </w:pPr>
      <w:r w:rsidRPr="00D32183">
        <w:rPr>
          <w:rFonts w:ascii="Arial" w:eastAsia="Cambria" w:hAnsi="Arial" w:cs="Arial"/>
          <w:sz w:val="20"/>
          <w:szCs w:val="20"/>
          <w:lang w:val="en-AU"/>
        </w:rPr>
        <w:t>may also involve allegations of a person holding themselves out to be a registered health practitioner or unlawfully using a protected title</w:t>
      </w:r>
      <w:r>
        <w:rPr>
          <w:rFonts w:ascii="Arial" w:eastAsia="Cambria" w:hAnsi="Arial" w:cs="Arial"/>
          <w:sz w:val="20"/>
          <w:szCs w:val="20"/>
          <w:lang w:val="en-AU"/>
        </w:rPr>
        <w:t>.</w:t>
      </w:r>
      <w:r w:rsidRPr="00D32183">
        <w:rPr>
          <w:rFonts w:ascii="Arial" w:eastAsia="Cambria" w:hAnsi="Arial" w:cs="Arial"/>
          <w:sz w:val="20"/>
          <w:szCs w:val="20"/>
          <w:lang w:val="en-AU"/>
        </w:rPr>
        <w:t xml:space="preserve"> </w:t>
      </w:r>
    </w:p>
    <w:p w:rsidR="00D44F1A" w:rsidRPr="00D32183" w:rsidRDefault="00D44F1A" w:rsidP="00D44F1A">
      <w:pPr>
        <w:spacing w:after="120"/>
        <w:rPr>
          <w:rFonts w:cs="Arial"/>
          <w:sz w:val="20"/>
          <w:szCs w:val="20"/>
        </w:rPr>
      </w:pPr>
      <w:r w:rsidRPr="00D32183">
        <w:rPr>
          <w:rFonts w:cs="Arial"/>
          <w:sz w:val="20"/>
          <w:szCs w:val="20"/>
        </w:rPr>
        <w:t>We will periodically review and update this list as needed.</w:t>
      </w:r>
    </w:p>
    <w:p w:rsidR="00D44F1A" w:rsidRPr="001A4364" w:rsidRDefault="00D44F1A" w:rsidP="00D44F1A">
      <w:pPr>
        <w:pStyle w:val="ListParagraph"/>
        <w:numPr>
          <w:ilvl w:val="1"/>
          <w:numId w:val="15"/>
        </w:numPr>
        <w:spacing w:after="120"/>
        <w:ind w:left="357" w:hanging="357"/>
        <w:contextualSpacing w:val="0"/>
        <w:rPr>
          <w:rFonts w:ascii="Arial" w:eastAsia="Cambria" w:hAnsi="Arial" w:cs="Arial"/>
          <w:b/>
          <w:color w:val="0070C0"/>
          <w:sz w:val="20"/>
          <w:szCs w:val="20"/>
          <w:lang w:val="en-AU"/>
        </w:rPr>
      </w:pPr>
      <w:r w:rsidRPr="00560DBC">
        <w:rPr>
          <w:rFonts w:ascii="Arial" w:eastAsia="Cambria" w:hAnsi="Arial" w:cs="Arial"/>
          <w:b/>
          <w:color w:val="0070C0"/>
          <w:sz w:val="20"/>
          <w:szCs w:val="20"/>
          <w:lang w:val="en-AU"/>
        </w:rPr>
        <w:t xml:space="preserve">Education and engagement </w:t>
      </w:r>
    </w:p>
    <w:p w:rsidR="004455D7" w:rsidRDefault="00D44F1A" w:rsidP="00D44F1A">
      <w:pPr>
        <w:spacing w:after="120"/>
        <w:rPr>
          <w:rFonts w:cs="Arial"/>
          <w:sz w:val="20"/>
          <w:szCs w:val="20"/>
        </w:rPr>
      </w:pPr>
      <w:r w:rsidRPr="00560DBC">
        <w:rPr>
          <w:rFonts w:cs="Arial"/>
          <w:sz w:val="20"/>
          <w:szCs w:val="20"/>
        </w:rPr>
        <w:t xml:space="preserve">Education and </w:t>
      </w:r>
      <w:r w:rsidRPr="005632CD">
        <w:rPr>
          <w:rFonts w:cs="Arial"/>
          <w:sz w:val="20"/>
          <w:szCs w:val="20"/>
        </w:rPr>
        <w:t>engagement</w:t>
      </w:r>
      <w:r w:rsidRPr="005F0FF7">
        <w:rPr>
          <w:rFonts w:cs="Arial"/>
          <w:sz w:val="20"/>
          <w:szCs w:val="20"/>
        </w:rPr>
        <w:t xml:space="preserve"> are regulatory tools that have been shown to be</w:t>
      </w:r>
      <w:r>
        <w:rPr>
          <w:rFonts w:cs="Arial"/>
          <w:sz w:val="20"/>
          <w:szCs w:val="20"/>
        </w:rPr>
        <w:t xml:space="preserve"> key parts of an</w:t>
      </w:r>
      <w:r w:rsidRPr="005F0FF7">
        <w:rPr>
          <w:rFonts w:cs="Arial"/>
          <w:sz w:val="20"/>
          <w:szCs w:val="20"/>
        </w:rPr>
        <w:t xml:space="preserve"> effective</w:t>
      </w:r>
      <w:r>
        <w:rPr>
          <w:rFonts w:cs="Arial"/>
          <w:sz w:val="20"/>
          <w:szCs w:val="20"/>
        </w:rPr>
        <w:t xml:space="preserve"> strategy</w:t>
      </w:r>
      <w:r w:rsidRPr="005F0FF7">
        <w:rPr>
          <w:rFonts w:cs="Arial"/>
          <w:sz w:val="20"/>
          <w:szCs w:val="20"/>
        </w:rPr>
        <w:t xml:space="preserve"> in achieving behavio</w:t>
      </w:r>
      <w:r>
        <w:rPr>
          <w:rFonts w:cs="Arial"/>
          <w:sz w:val="20"/>
          <w:szCs w:val="20"/>
        </w:rPr>
        <w:t>u</w:t>
      </w:r>
      <w:r w:rsidRPr="005F0FF7">
        <w:rPr>
          <w:rFonts w:cs="Arial"/>
          <w:sz w:val="20"/>
          <w:szCs w:val="20"/>
        </w:rPr>
        <w:t>r change</w:t>
      </w:r>
      <w:r>
        <w:rPr>
          <w:rFonts w:cs="Arial"/>
          <w:sz w:val="20"/>
          <w:szCs w:val="20"/>
        </w:rPr>
        <w:t xml:space="preserve">. </w:t>
      </w:r>
    </w:p>
    <w:p w:rsidR="00D44F1A" w:rsidRDefault="00D44F1A" w:rsidP="00D44F1A">
      <w:pPr>
        <w:spacing w:after="120"/>
        <w:rPr>
          <w:rFonts w:cs="Arial"/>
          <w:sz w:val="20"/>
          <w:szCs w:val="20"/>
        </w:rPr>
      </w:pPr>
      <w:r w:rsidRPr="00E2017F">
        <w:rPr>
          <w:rFonts w:cs="Arial"/>
          <w:sz w:val="20"/>
          <w:szCs w:val="20"/>
        </w:rPr>
        <w:t xml:space="preserve">We </w:t>
      </w:r>
      <w:r>
        <w:rPr>
          <w:rFonts w:cs="Arial"/>
          <w:sz w:val="20"/>
          <w:szCs w:val="20"/>
        </w:rPr>
        <w:t xml:space="preserve">will focus resources on these activities as we </w:t>
      </w:r>
      <w:r w:rsidRPr="00E2017F">
        <w:rPr>
          <w:rFonts w:cs="Arial"/>
          <w:sz w:val="20"/>
          <w:szCs w:val="20"/>
        </w:rPr>
        <w:t xml:space="preserve">think these are the best way </w:t>
      </w:r>
      <w:r>
        <w:rPr>
          <w:rFonts w:cs="Arial"/>
          <w:sz w:val="20"/>
          <w:szCs w:val="20"/>
        </w:rPr>
        <w:t xml:space="preserve">to </w:t>
      </w:r>
      <w:r w:rsidRPr="00E2017F">
        <w:rPr>
          <w:rFonts w:cs="Arial"/>
          <w:sz w:val="20"/>
          <w:szCs w:val="20"/>
        </w:rPr>
        <w:t>reach the majority of people wh</w:t>
      </w:r>
      <w:r>
        <w:rPr>
          <w:rFonts w:cs="Arial"/>
          <w:sz w:val="20"/>
          <w:szCs w:val="20"/>
        </w:rPr>
        <w:t>o want to advertise responsibly and to encourage higher performance.</w:t>
      </w:r>
    </w:p>
    <w:p w:rsidR="00D44F1A" w:rsidRDefault="00D44F1A" w:rsidP="00D44F1A">
      <w:pPr>
        <w:spacing w:after="0"/>
        <w:rPr>
          <w:rFonts w:cs="Arial"/>
          <w:sz w:val="20"/>
          <w:szCs w:val="20"/>
        </w:rPr>
      </w:pPr>
      <w:r w:rsidRPr="00533A92">
        <w:rPr>
          <w:rFonts w:cs="Arial"/>
          <w:sz w:val="20"/>
          <w:szCs w:val="20"/>
        </w:rPr>
        <w:t xml:space="preserve">Activities we will </w:t>
      </w:r>
      <w:r>
        <w:rPr>
          <w:rFonts w:cs="Arial"/>
          <w:sz w:val="20"/>
          <w:szCs w:val="20"/>
        </w:rPr>
        <w:t>carry out</w:t>
      </w:r>
      <w:r w:rsidRPr="00533A92">
        <w:rPr>
          <w:rFonts w:cs="Arial"/>
          <w:sz w:val="20"/>
          <w:szCs w:val="20"/>
        </w:rPr>
        <w:t xml:space="preserve"> to support compliance include:</w:t>
      </w:r>
    </w:p>
    <w:p w:rsidR="004455D7" w:rsidRDefault="004455D7" w:rsidP="00D44F1A">
      <w:pPr>
        <w:spacing w:after="0"/>
        <w:rPr>
          <w:rFonts w:cs="Arial"/>
          <w:sz w:val="20"/>
          <w:szCs w:val="20"/>
        </w:rPr>
      </w:pPr>
    </w:p>
    <w:p w:rsidR="00D44F1A" w:rsidRPr="00533A92" w:rsidRDefault="00D44F1A" w:rsidP="00D44F1A">
      <w:pPr>
        <w:spacing w:after="0"/>
        <w:rPr>
          <w:rFonts w:cs="Arial"/>
          <w:sz w:val="20"/>
          <w:szCs w:val="20"/>
        </w:rPr>
      </w:pP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 xml:space="preserve">working more with consumers to understand their experiences of healthcare advertising and using these insights to develop interventions to support better outcomes for consumers </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developing further guidance for practitioners and other advertisers about advertising rules, consumer experience of advertising and tips for how to advertise responsibly</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comprehensive educational campaigns for advertisers (for example, about common mistakes made in advertising)</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developing specific education tools to respond to identified areas of concern</w:t>
      </w:r>
    </w:p>
    <w:p w:rsidR="00D44F1A" w:rsidRPr="005B3F12"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 xml:space="preserve">engaging with advertisers and other stakeholders through </w:t>
      </w:r>
      <w:r w:rsidRPr="005B3F12">
        <w:rPr>
          <w:rFonts w:ascii="Arial" w:hAnsi="Arial" w:cs="Arial"/>
          <w:sz w:val="20"/>
          <w:szCs w:val="20"/>
        </w:rPr>
        <w:t>webinars, social media, forums and other activities</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letting advertisers and the public know when we take action for non-compliant advertising, to make it clearer what is ok and what is not acceptable when advertising</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making it clear to advertisers when there are specific types of claims and areas we are concerned about (for example, specific claims which are misleading and not backed up by acceptable evidence)</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writing to practitioners and other advertisers if they are identified to be at risk of non-compliance, and</w:t>
      </w:r>
    </w:p>
    <w:p w:rsidR="00D44F1A" w:rsidRDefault="00D44F1A" w:rsidP="00D44F1A">
      <w:pPr>
        <w:pStyle w:val="ListParagraph"/>
        <w:numPr>
          <w:ilvl w:val="0"/>
          <w:numId w:val="19"/>
        </w:numPr>
        <w:spacing w:after="0"/>
        <w:ind w:left="426" w:hanging="426"/>
        <w:contextualSpacing w:val="0"/>
        <w:rPr>
          <w:rFonts w:ascii="Arial" w:hAnsi="Arial" w:cs="Arial"/>
          <w:sz w:val="20"/>
          <w:szCs w:val="20"/>
        </w:rPr>
      </w:pPr>
      <w:r>
        <w:rPr>
          <w:rFonts w:ascii="Arial" w:hAnsi="Arial" w:cs="Arial"/>
          <w:sz w:val="20"/>
          <w:szCs w:val="20"/>
        </w:rPr>
        <w:t>partnerships with consumer groups, professional associations and other regulators on projects that support the strategy</w:t>
      </w:r>
    </w:p>
    <w:p w:rsidR="00D44F1A" w:rsidRDefault="00D44F1A" w:rsidP="00D44F1A">
      <w:pPr>
        <w:pStyle w:val="ListParagraph"/>
        <w:spacing w:after="0"/>
        <w:ind w:left="426"/>
        <w:contextualSpacing w:val="0"/>
        <w:rPr>
          <w:rFonts w:ascii="Arial" w:hAnsi="Arial" w:cs="Arial"/>
          <w:sz w:val="20"/>
          <w:szCs w:val="20"/>
        </w:rPr>
      </w:pP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 xml:space="preserve">Enforcement </w:t>
      </w:r>
    </w:p>
    <w:p w:rsidR="00D44F1A" w:rsidRPr="00AD2D78" w:rsidRDefault="00D44F1A" w:rsidP="00D44F1A">
      <w:pPr>
        <w:rPr>
          <w:rFonts w:cs="Arial"/>
          <w:sz w:val="20"/>
          <w:szCs w:val="20"/>
        </w:rPr>
      </w:pPr>
      <w:r>
        <w:rPr>
          <w:rFonts w:cs="Arial"/>
          <w:sz w:val="20"/>
          <w:szCs w:val="20"/>
        </w:rPr>
        <w:t xml:space="preserve">We will respond to all complaints about advertising and use a range of regulatory tools to address non-compliant advertising. </w:t>
      </w:r>
    </w:p>
    <w:p w:rsidR="00D44F1A" w:rsidRDefault="00D44F1A" w:rsidP="00D44F1A">
      <w:pPr>
        <w:rPr>
          <w:rFonts w:cs="Arial"/>
          <w:sz w:val="20"/>
          <w:szCs w:val="20"/>
        </w:rPr>
      </w:pPr>
      <w:r>
        <w:rPr>
          <w:rFonts w:cs="Arial"/>
          <w:sz w:val="20"/>
          <w:szCs w:val="20"/>
        </w:rPr>
        <w:t>Compliance and enforcement action will escalate depending on the ongoing assessment of risk and the response of the advertiser.</w:t>
      </w:r>
    </w:p>
    <w:p w:rsidR="00D44F1A" w:rsidRDefault="00D44F1A" w:rsidP="00D44F1A">
      <w:pPr>
        <w:jc w:val="center"/>
        <w:rPr>
          <w:rFonts w:cs="Arial"/>
          <w:sz w:val="20"/>
          <w:szCs w:val="20"/>
        </w:rPr>
      </w:pPr>
      <w:r w:rsidRPr="00D32183">
        <w:rPr>
          <w:rFonts w:cs="Arial"/>
          <w:noProof/>
          <w:sz w:val="20"/>
          <w:szCs w:val="20"/>
          <w:lang w:eastAsia="en-AU"/>
        </w:rPr>
        <w:drawing>
          <wp:inline distT="0" distB="0" distL="0" distR="0">
            <wp:extent cx="3258988" cy="3537060"/>
            <wp:effectExtent l="0" t="0" r="0" b="6350"/>
            <wp:docPr id="4" name="Picture 0" descr="Approach to enforcement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matrix v2.png"/>
                    <pic:cNvPicPr/>
                  </pic:nvPicPr>
                  <pic:blipFill>
                    <a:blip r:embed="rId12"/>
                    <a:stretch>
                      <a:fillRect/>
                    </a:stretch>
                  </pic:blipFill>
                  <pic:spPr>
                    <a:xfrm>
                      <a:off x="0" y="0"/>
                      <a:ext cx="3258109" cy="3536106"/>
                    </a:xfrm>
                    <a:prstGeom prst="rect">
                      <a:avLst/>
                    </a:prstGeom>
                  </pic:spPr>
                </pic:pic>
              </a:graphicData>
            </a:graphic>
          </wp:inline>
        </w:drawing>
      </w:r>
    </w:p>
    <w:p w:rsidR="00D44F1A" w:rsidRDefault="00D44F1A" w:rsidP="00D44F1A">
      <w:pPr>
        <w:spacing w:before="240"/>
        <w:rPr>
          <w:rFonts w:cs="Arial"/>
          <w:sz w:val="20"/>
          <w:szCs w:val="20"/>
        </w:rPr>
      </w:pPr>
      <w:r>
        <w:rPr>
          <w:rFonts w:cs="Arial"/>
          <w:sz w:val="20"/>
          <w:szCs w:val="20"/>
        </w:rPr>
        <w:t>Enforcement tools available under the National Law include the power to:</w:t>
      </w:r>
    </w:p>
    <w:p w:rsidR="00D44F1A" w:rsidRPr="00CF32B8" w:rsidRDefault="00D44F1A" w:rsidP="00D44F1A">
      <w:pPr>
        <w:pStyle w:val="ListParagraph"/>
        <w:numPr>
          <w:ilvl w:val="0"/>
          <w:numId w:val="22"/>
        </w:numPr>
        <w:ind w:left="426" w:hanging="426"/>
        <w:rPr>
          <w:rFonts w:ascii="Arial" w:hAnsi="Arial" w:cs="Arial"/>
          <w:sz w:val="20"/>
          <w:szCs w:val="20"/>
        </w:rPr>
      </w:pPr>
      <w:r>
        <w:rPr>
          <w:rFonts w:ascii="Arial" w:hAnsi="Arial" w:cs="Arial"/>
          <w:sz w:val="20"/>
          <w:szCs w:val="20"/>
        </w:rPr>
        <w:t>investigate a practitioner’s conduct</w:t>
      </w:r>
    </w:p>
    <w:p w:rsidR="00D44F1A" w:rsidRPr="00CF32B8" w:rsidRDefault="00D44F1A" w:rsidP="00D44F1A">
      <w:pPr>
        <w:pStyle w:val="ListParagraph"/>
        <w:numPr>
          <w:ilvl w:val="0"/>
          <w:numId w:val="22"/>
        </w:numPr>
        <w:ind w:left="426" w:hanging="426"/>
        <w:rPr>
          <w:rFonts w:ascii="Arial" w:hAnsi="Arial" w:cs="Arial"/>
          <w:sz w:val="20"/>
          <w:szCs w:val="20"/>
        </w:rPr>
      </w:pPr>
      <w:r>
        <w:rPr>
          <w:rFonts w:ascii="Arial" w:hAnsi="Arial" w:cs="Arial"/>
          <w:sz w:val="20"/>
          <w:szCs w:val="20"/>
        </w:rPr>
        <w:t>impose conditions on the practitioner’s registration</w:t>
      </w:r>
      <w:r w:rsidRPr="00E365B4">
        <w:rPr>
          <w:rFonts w:ascii="Arial" w:hAnsi="Arial" w:cs="Arial"/>
          <w:color w:val="444444"/>
          <w:sz w:val="20"/>
          <w:szCs w:val="20"/>
        </w:rPr>
        <w:t xml:space="preserve"> </w:t>
      </w:r>
      <w:r w:rsidRPr="000224C1">
        <w:rPr>
          <w:rFonts w:ascii="Arial" w:hAnsi="Arial" w:cs="Arial"/>
          <w:sz w:val="20"/>
          <w:szCs w:val="20"/>
        </w:rPr>
        <w:t>restricting their ability to advertise their services</w:t>
      </w:r>
    </w:p>
    <w:p w:rsidR="00D44F1A" w:rsidRDefault="00D44F1A" w:rsidP="00D44F1A">
      <w:pPr>
        <w:pStyle w:val="ListParagraph"/>
        <w:numPr>
          <w:ilvl w:val="0"/>
          <w:numId w:val="22"/>
        </w:numPr>
        <w:ind w:left="426" w:hanging="426"/>
        <w:rPr>
          <w:rFonts w:ascii="Arial" w:hAnsi="Arial" w:cs="Arial"/>
          <w:sz w:val="20"/>
          <w:szCs w:val="20"/>
        </w:rPr>
      </w:pPr>
      <w:r>
        <w:rPr>
          <w:rFonts w:ascii="Arial" w:hAnsi="Arial" w:cs="Arial"/>
          <w:sz w:val="20"/>
          <w:szCs w:val="20"/>
        </w:rPr>
        <w:t>take disciplinary action in a panel or tribunal, and/or</w:t>
      </w:r>
    </w:p>
    <w:p w:rsidR="00D44F1A" w:rsidRPr="008231DD" w:rsidRDefault="00D44F1A" w:rsidP="00D44F1A">
      <w:pPr>
        <w:pStyle w:val="ListParagraph"/>
        <w:numPr>
          <w:ilvl w:val="1"/>
          <w:numId w:val="22"/>
        </w:numPr>
        <w:ind w:left="426" w:hanging="426"/>
        <w:rPr>
          <w:rFonts w:ascii="Arial" w:hAnsi="Arial" w:cs="Arial"/>
          <w:sz w:val="20"/>
          <w:szCs w:val="20"/>
        </w:rPr>
      </w:pPr>
      <w:r w:rsidRPr="008231DD">
        <w:rPr>
          <w:rFonts w:ascii="Arial" w:hAnsi="Arial" w:cs="Arial"/>
          <w:sz w:val="20"/>
          <w:szCs w:val="20"/>
        </w:rPr>
        <w:lastRenderedPageBreak/>
        <w:t>prosecute an advertiser of a regulated health service (which may be a registered health practitioner, another person or a business)</w:t>
      </w:r>
      <w:r>
        <w:rPr>
          <w:rFonts w:ascii="Arial" w:hAnsi="Arial" w:cs="Arial"/>
          <w:sz w:val="20"/>
          <w:szCs w:val="20"/>
        </w:rPr>
        <w:t>.</w:t>
      </w:r>
    </w:p>
    <w:p w:rsidR="00D44F1A" w:rsidRPr="006D0877" w:rsidRDefault="00D44F1A" w:rsidP="00D44F1A">
      <w:pPr>
        <w:pStyle w:val="AHPRAbodyContextparanumbered"/>
        <w:numPr>
          <w:ilvl w:val="0"/>
          <w:numId w:val="0"/>
        </w:numPr>
      </w:pPr>
      <w:r w:rsidRPr="006D0877">
        <w:t>Certain high</w:t>
      </w:r>
      <w:r>
        <w:t>-</w:t>
      </w:r>
      <w:r w:rsidRPr="006D0877">
        <w:t>risk matters will be identified as suitable for prosecution</w:t>
      </w:r>
      <w:r>
        <w:t xml:space="preserve"> or disciplinary action</w:t>
      </w:r>
      <w:r w:rsidRPr="006D0877">
        <w:t xml:space="preserve"> from the outset.</w:t>
      </w:r>
    </w:p>
    <w:p w:rsidR="00D44F1A" w:rsidRDefault="00D44F1A" w:rsidP="00D44F1A">
      <w:pPr>
        <w:rPr>
          <w:rFonts w:cs="Arial"/>
          <w:sz w:val="20"/>
          <w:szCs w:val="20"/>
        </w:rPr>
      </w:pPr>
      <w:r w:rsidRPr="00CF32B8">
        <w:rPr>
          <w:rFonts w:cs="Arial"/>
          <w:sz w:val="20"/>
          <w:szCs w:val="20"/>
        </w:rPr>
        <w:t>For alleged advertising breaches assessed as lower</w:t>
      </w:r>
      <w:r>
        <w:rPr>
          <w:rFonts w:cs="Arial"/>
          <w:sz w:val="20"/>
          <w:szCs w:val="20"/>
        </w:rPr>
        <w:t xml:space="preserve"> risk</w:t>
      </w:r>
      <w:r w:rsidRPr="00AD2D78">
        <w:rPr>
          <w:rFonts w:cs="Arial"/>
          <w:sz w:val="20"/>
          <w:szCs w:val="20"/>
        </w:rPr>
        <w:t xml:space="preserve">, we will write to advertisers to put them on </w:t>
      </w:r>
      <w:r w:rsidRPr="00B556CE">
        <w:rPr>
          <w:rFonts w:cs="Arial"/>
          <w:sz w:val="20"/>
          <w:szCs w:val="20"/>
        </w:rPr>
        <w:t xml:space="preserve">notice that their advertising is non-compliant and provide </w:t>
      </w:r>
      <w:r>
        <w:rPr>
          <w:rFonts w:cs="Arial"/>
          <w:sz w:val="20"/>
          <w:szCs w:val="20"/>
        </w:rPr>
        <w:t>resources</w:t>
      </w:r>
      <w:r w:rsidRPr="00B556CE">
        <w:rPr>
          <w:rFonts w:cs="Arial"/>
          <w:sz w:val="20"/>
          <w:szCs w:val="20"/>
        </w:rPr>
        <w:t xml:space="preserve"> to </w:t>
      </w:r>
      <w:r>
        <w:rPr>
          <w:rFonts w:cs="Arial"/>
          <w:sz w:val="20"/>
          <w:szCs w:val="20"/>
        </w:rPr>
        <w:t>help</w:t>
      </w:r>
      <w:r w:rsidRPr="005632CD">
        <w:rPr>
          <w:rFonts w:cs="Arial"/>
          <w:sz w:val="20"/>
          <w:szCs w:val="20"/>
        </w:rPr>
        <w:t xml:space="preserve"> them to comply</w:t>
      </w:r>
      <w:r w:rsidRPr="00B556CE">
        <w:rPr>
          <w:rFonts w:cs="Arial"/>
          <w:sz w:val="20"/>
          <w:szCs w:val="20"/>
        </w:rPr>
        <w:t xml:space="preserve"> with the </w:t>
      </w:r>
      <w:r>
        <w:rPr>
          <w:rFonts w:cs="Arial"/>
          <w:sz w:val="20"/>
          <w:szCs w:val="20"/>
        </w:rPr>
        <w:t>National L</w:t>
      </w:r>
      <w:r w:rsidRPr="00B556CE">
        <w:rPr>
          <w:rFonts w:cs="Arial"/>
          <w:sz w:val="20"/>
          <w:szCs w:val="20"/>
        </w:rPr>
        <w:t xml:space="preserve">aw. </w:t>
      </w:r>
    </w:p>
    <w:p w:rsidR="00D44F1A" w:rsidRDefault="00D44F1A" w:rsidP="00D44F1A">
      <w:pPr>
        <w:rPr>
          <w:rFonts w:cs="Arial"/>
          <w:sz w:val="20"/>
          <w:szCs w:val="20"/>
        </w:rPr>
      </w:pPr>
      <w:r w:rsidRPr="00B556CE">
        <w:rPr>
          <w:rFonts w:cs="Arial"/>
          <w:sz w:val="20"/>
          <w:szCs w:val="20"/>
        </w:rPr>
        <w:t xml:space="preserve">We have refined our communication to be more concise and targeted and </w:t>
      </w:r>
      <w:r>
        <w:rPr>
          <w:rFonts w:cs="Arial"/>
          <w:sz w:val="20"/>
          <w:szCs w:val="20"/>
        </w:rPr>
        <w:t>are progressively developing</w:t>
      </w:r>
      <w:r w:rsidRPr="00B556CE">
        <w:rPr>
          <w:rFonts w:cs="Arial"/>
          <w:sz w:val="20"/>
          <w:szCs w:val="20"/>
        </w:rPr>
        <w:t xml:space="preserve"> further materials to help advertisers to comply, including educational resources and examples of acceptable and </w:t>
      </w:r>
      <w:r>
        <w:rPr>
          <w:rFonts w:cs="Arial"/>
          <w:sz w:val="20"/>
          <w:szCs w:val="20"/>
        </w:rPr>
        <w:t>un</w:t>
      </w:r>
      <w:r w:rsidRPr="00B556CE">
        <w:rPr>
          <w:rFonts w:cs="Arial"/>
          <w:sz w:val="20"/>
          <w:szCs w:val="20"/>
        </w:rPr>
        <w:t>acceptable advertising.</w:t>
      </w:r>
      <w:r>
        <w:rPr>
          <w:rFonts w:cs="Arial"/>
          <w:sz w:val="20"/>
          <w:szCs w:val="20"/>
        </w:rPr>
        <w:t xml:space="preserve"> </w:t>
      </w:r>
    </w:p>
    <w:p w:rsidR="00D44F1A" w:rsidRDefault="00D44F1A" w:rsidP="00D44F1A">
      <w:pPr>
        <w:rPr>
          <w:rFonts w:cs="Arial"/>
          <w:sz w:val="20"/>
          <w:szCs w:val="20"/>
        </w:rPr>
      </w:pPr>
      <w:r>
        <w:rPr>
          <w:rFonts w:cs="Arial"/>
          <w:sz w:val="20"/>
          <w:szCs w:val="20"/>
        </w:rPr>
        <w:t xml:space="preserve">We will provide a timeframe for the non-compliant advertising to be amended, and will advise how compliance will be checked. </w:t>
      </w:r>
      <w:r w:rsidRPr="00AD2D78">
        <w:rPr>
          <w:rFonts w:cs="Arial"/>
          <w:sz w:val="20"/>
          <w:szCs w:val="20"/>
        </w:rPr>
        <w:t>We expect that many advertisers are keen to change their advertising once they are made aware of non-compliance and the range of possible consequences.</w:t>
      </w:r>
    </w:p>
    <w:p w:rsidR="00D44F1A" w:rsidRPr="00FA2608" w:rsidRDefault="00D44F1A" w:rsidP="00D44F1A">
      <w:pPr>
        <w:rPr>
          <w:rFonts w:cs="Arial"/>
          <w:sz w:val="20"/>
          <w:szCs w:val="20"/>
        </w:rPr>
      </w:pPr>
      <w:r w:rsidRPr="00CF3034">
        <w:rPr>
          <w:rFonts w:cs="Arial"/>
          <w:sz w:val="20"/>
          <w:szCs w:val="20"/>
        </w:rPr>
        <w:t xml:space="preserve">Following the initial correspondence to advertisers, compliance will be checked by targeted and random </w:t>
      </w:r>
      <w:r w:rsidRPr="00FA2608">
        <w:rPr>
          <w:rFonts w:cs="Arial"/>
          <w:sz w:val="20"/>
          <w:szCs w:val="20"/>
        </w:rPr>
        <w:t xml:space="preserve">audits. Whether the advertising is part of a targeted or random audit will depend on the initial risk assessment of their advertising. Where continuing non-compliance is identified, the practitioner will receive a show cause letter proposing to impose conditions on their registration restricting the practitioner’s ability to advertise their services, and providing a further timeframe to amend their advertising. </w:t>
      </w:r>
    </w:p>
    <w:p w:rsidR="00D44F1A" w:rsidRPr="00CF3034" w:rsidRDefault="00D44F1A" w:rsidP="00D44F1A">
      <w:pPr>
        <w:rPr>
          <w:rFonts w:cs="Arial"/>
          <w:sz w:val="20"/>
          <w:szCs w:val="20"/>
        </w:rPr>
      </w:pPr>
      <w:r w:rsidRPr="00FA2608">
        <w:rPr>
          <w:rFonts w:cs="Arial"/>
          <w:sz w:val="20"/>
          <w:szCs w:val="20"/>
        </w:rPr>
        <w:t xml:space="preserve">If the practitioner’s advertising is not rectified, the conditions will be imposed and before the conditions are removed </w:t>
      </w:r>
      <w:r>
        <w:rPr>
          <w:rFonts w:cs="Arial"/>
          <w:sz w:val="20"/>
          <w:szCs w:val="20"/>
        </w:rPr>
        <w:t>the practitioner will need to demonstrate their understanding of the advertising requirements</w:t>
      </w:r>
      <w:r w:rsidRPr="00FA2608">
        <w:rPr>
          <w:rFonts w:cs="Arial"/>
          <w:sz w:val="20"/>
          <w:szCs w:val="20"/>
        </w:rPr>
        <w:t>. Enforcement action will escalate depending on the ongoing assessment of risk and the response of the advertiser. Continued</w:t>
      </w:r>
      <w:r w:rsidRPr="00CF3034">
        <w:rPr>
          <w:rFonts w:cs="Arial"/>
          <w:sz w:val="20"/>
          <w:szCs w:val="20"/>
        </w:rPr>
        <w:t xml:space="preserve"> non-compliance after the imposition of condition</w:t>
      </w:r>
      <w:r>
        <w:rPr>
          <w:rFonts w:cs="Arial"/>
          <w:sz w:val="20"/>
          <w:szCs w:val="20"/>
        </w:rPr>
        <w:t>s</w:t>
      </w:r>
      <w:r w:rsidRPr="00CF3034">
        <w:rPr>
          <w:rFonts w:cs="Arial"/>
          <w:sz w:val="20"/>
          <w:szCs w:val="20"/>
        </w:rPr>
        <w:t xml:space="preserve"> may result in referral to</w:t>
      </w:r>
      <w:r>
        <w:rPr>
          <w:rFonts w:cs="Arial"/>
          <w:sz w:val="20"/>
          <w:szCs w:val="20"/>
        </w:rPr>
        <w:t xml:space="preserve"> a</w:t>
      </w:r>
      <w:r w:rsidRPr="00CF3034">
        <w:rPr>
          <w:rFonts w:cs="Arial"/>
          <w:sz w:val="20"/>
          <w:szCs w:val="20"/>
        </w:rPr>
        <w:t xml:space="preserve"> </w:t>
      </w:r>
      <w:r>
        <w:rPr>
          <w:rFonts w:cs="Arial"/>
          <w:sz w:val="20"/>
          <w:szCs w:val="20"/>
        </w:rPr>
        <w:t>t</w:t>
      </w:r>
      <w:r w:rsidRPr="00CF3034">
        <w:rPr>
          <w:rFonts w:cs="Arial"/>
          <w:sz w:val="20"/>
          <w:szCs w:val="20"/>
        </w:rPr>
        <w:t>ribunal.</w:t>
      </w:r>
    </w:p>
    <w:p w:rsidR="00D44F1A" w:rsidRDefault="00D44F1A" w:rsidP="00D44F1A">
      <w:pPr>
        <w:rPr>
          <w:rFonts w:cs="Arial"/>
          <w:sz w:val="20"/>
          <w:szCs w:val="20"/>
        </w:rPr>
      </w:pPr>
      <w:r>
        <w:rPr>
          <w:rFonts w:cs="Arial"/>
          <w:sz w:val="20"/>
          <w:szCs w:val="20"/>
        </w:rPr>
        <w:t>In future, we will publish summaries of compliance and enforcement action taken, and may identify specific areas of focus for enforcement action (for example, claims directed at certain patient groups or about certain health conditions).</w:t>
      </w:r>
    </w:p>
    <w:p w:rsidR="00D44F1A" w:rsidRPr="00624F35" w:rsidRDefault="00D44F1A" w:rsidP="00D44F1A">
      <w:pPr>
        <w:pStyle w:val="ListParagraph"/>
        <w:numPr>
          <w:ilvl w:val="0"/>
          <w:numId w:val="15"/>
        </w:numPr>
        <w:spacing w:after="120"/>
        <w:ind w:left="357" w:hanging="357"/>
        <w:contextualSpacing w:val="0"/>
        <w:rPr>
          <w:rFonts w:ascii="Arial" w:hAnsi="Arial" w:cs="Arial"/>
          <w:b/>
          <w:sz w:val="20"/>
          <w:szCs w:val="20"/>
        </w:rPr>
      </w:pPr>
      <w:r w:rsidRPr="00624F35">
        <w:rPr>
          <w:rFonts w:ascii="Arial" w:hAnsi="Arial" w:cs="Arial"/>
          <w:b/>
          <w:sz w:val="20"/>
          <w:szCs w:val="20"/>
        </w:rPr>
        <w:t>Review and evaluation</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 xml:space="preserve">Developing an evaluation framework </w:t>
      </w:r>
    </w:p>
    <w:p w:rsidR="00D44F1A" w:rsidRDefault="00D44F1A" w:rsidP="00D44F1A">
      <w:pPr>
        <w:spacing w:after="120"/>
        <w:rPr>
          <w:rFonts w:cs="Arial"/>
          <w:sz w:val="20"/>
          <w:szCs w:val="20"/>
        </w:rPr>
      </w:pPr>
      <w:r>
        <w:rPr>
          <w:rFonts w:cs="Arial"/>
          <w:sz w:val="20"/>
          <w:szCs w:val="20"/>
        </w:rPr>
        <w:t>Our strategy involves a mix of approaches, some of which are tried and tested, and some that we are piloting.</w:t>
      </w:r>
      <w:r w:rsidRPr="00624F35">
        <w:rPr>
          <w:rFonts w:cs="Arial"/>
          <w:sz w:val="20"/>
          <w:szCs w:val="20"/>
        </w:rPr>
        <w:t xml:space="preserve"> </w:t>
      </w:r>
      <w:r>
        <w:rPr>
          <w:rFonts w:cs="Arial"/>
          <w:sz w:val="20"/>
          <w:szCs w:val="20"/>
        </w:rPr>
        <w:t xml:space="preserve">We will use an evaluation framework </w:t>
      </w:r>
      <w:r w:rsidRPr="00332FF5">
        <w:rPr>
          <w:rFonts w:cs="Arial"/>
          <w:sz w:val="20"/>
          <w:szCs w:val="20"/>
        </w:rPr>
        <w:t xml:space="preserve">to check whether </w:t>
      </w:r>
      <w:r>
        <w:rPr>
          <w:rFonts w:cs="Arial"/>
          <w:sz w:val="20"/>
          <w:szCs w:val="20"/>
        </w:rPr>
        <w:t>what we are doing</w:t>
      </w:r>
      <w:r w:rsidRPr="00332FF5">
        <w:rPr>
          <w:rFonts w:cs="Arial"/>
          <w:sz w:val="20"/>
          <w:szCs w:val="20"/>
        </w:rPr>
        <w:t xml:space="preserve"> is improving </w:t>
      </w:r>
      <w:r>
        <w:rPr>
          <w:rFonts w:cs="Arial"/>
          <w:sz w:val="20"/>
          <w:szCs w:val="20"/>
        </w:rPr>
        <w:t xml:space="preserve">advertising </w:t>
      </w:r>
      <w:r w:rsidRPr="00332FF5">
        <w:rPr>
          <w:rFonts w:cs="Arial"/>
          <w:sz w:val="20"/>
          <w:szCs w:val="20"/>
        </w:rPr>
        <w:t>compliance</w:t>
      </w:r>
      <w:r>
        <w:rPr>
          <w:rFonts w:cs="Arial"/>
          <w:sz w:val="20"/>
          <w:szCs w:val="20"/>
        </w:rPr>
        <w:t xml:space="preserve">, </w:t>
      </w:r>
      <w:r w:rsidRPr="00332FF5">
        <w:rPr>
          <w:rFonts w:cs="Arial"/>
          <w:sz w:val="20"/>
          <w:szCs w:val="20"/>
        </w:rPr>
        <w:t xml:space="preserve">and </w:t>
      </w:r>
      <w:r>
        <w:rPr>
          <w:rFonts w:cs="Arial"/>
          <w:sz w:val="20"/>
          <w:szCs w:val="20"/>
        </w:rPr>
        <w:t>to make sure our strategy</w:t>
      </w:r>
      <w:r w:rsidRPr="00332FF5">
        <w:rPr>
          <w:rFonts w:cs="Arial"/>
          <w:sz w:val="20"/>
          <w:szCs w:val="20"/>
        </w:rPr>
        <w:t xml:space="preserve"> remains contemporary</w:t>
      </w:r>
      <w:r>
        <w:rPr>
          <w:rFonts w:cs="Arial"/>
          <w:sz w:val="20"/>
          <w:szCs w:val="20"/>
        </w:rPr>
        <w:t xml:space="preserve"> and responsive</w:t>
      </w:r>
      <w:r w:rsidRPr="00332FF5">
        <w:rPr>
          <w:rFonts w:cs="Arial"/>
          <w:sz w:val="20"/>
          <w:szCs w:val="20"/>
        </w:rPr>
        <w:t>.</w:t>
      </w:r>
    </w:p>
    <w:p w:rsidR="00D44F1A" w:rsidRPr="00624F35" w:rsidRDefault="00D44F1A" w:rsidP="00D44F1A">
      <w:pPr>
        <w:spacing w:after="120"/>
        <w:rPr>
          <w:rFonts w:cs="Arial"/>
          <w:sz w:val="20"/>
          <w:szCs w:val="20"/>
        </w:rPr>
      </w:pPr>
      <w:r w:rsidRPr="00216816">
        <w:rPr>
          <w:rFonts w:cs="Arial"/>
          <w:sz w:val="20"/>
          <w:szCs w:val="20"/>
        </w:rPr>
        <w:t xml:space="preserve">We will report on the achievements of the strategy </w:t>
      </w:r>
      <w:r>
        <w:rPr>
          <w:rFonts w:cs="Arial"/>
          <w:sz w:val="20"/>
          <w:szCs w:val="20"/>
        </w:rPr>
        <w:t>annually</w:t>
      </w:r>
      <w:r w:rsidRPr="00216816">
        <w:rPr>
          <w:rFonts w:cs="Arial"/>
          <w:sz w:val="20"/>
          <w:szCs w:val="20"/>
        </w:rPr>
        <w:t xml:space="preserve">, and will also look </w:t>
      </w:r>
      <w:r>
        <w:rPr>
          <w:rFonts w:cs="Arial"/>
          <w:sz w:val="20"/>
          <w:szCs w:val="20"/>
        </w:rPr>
        <w:t>at</w:t>
      </w:r>
      <w:r w:rsidRPr="00216816">
        <w:rPr>
          <w:rFonts w:cs="Arial"/>
          <w:sz w:val="20"/>
          <w:szCs w:val="20"/>
        </w:rPr>
        <w:t xml:space="preserve"> other ways to report on our progress, including in online news items and newsletters </w:t>
      </w:r>
      <w:r>
        <w:rPr>
          <w:rFonts w:cs="Arial"/>
          <w:sz w:val="20"/>
          <w:szCs w:val="20"/>
        </w:rPr>
        <w:t>for</w:t>
      </w:r>
      <w:r w:rsidRPr="00216816">
        <w:rPr>
          <w:rFonts w:cs="Arial"/>
          <w:sz w:val="20"/>
          <w:szCs w:val="20"/>
        </w:rPr>
        <w:t xml:space="preserve"> practitioner</w:t>
      </w:r>
      <w:r>
        <w:rPr>
          <w:rFonts w:cs="Arial"/>
          <w:sz w:val="20"/>
          <w:szCs w:val="20"/>
        </w:rPr>
        <w:t>s</w:t>
      </w:r>
      <w:r w:rsidRPr="00216816">
        <w:rPr>
          <w:rFonts w:cs="Arial"/>
          <w:sz w:val="20"/>
          <w:szCs w:val="20"/>
        </w:rPr>
        <w:t xml:space="preserve">. </w:t>
      </w:r>
    </w:p>
    <w:p w:rsidR="00D44F1A" w:rsidRPr="00624F35" w:rsidRDefault="00D44F1A" w:rsidP="00D44F1A">
      <w:pPr>
        <w:pStyle w:val="ListParagraph"/>
        <w:numPr>
          <w:ilvl w:val="1"/>
          <w:numId w:val="15"/>
        </w:numPr>
        <w:spacing w:after="120"/>
        <w:ind w:left="357" w:hanging="357"/>
        <w:contextualSpacing w:val="0"/>
        <w:rPr>
          <w:rFonts w:ascii="Arial" w:hAnsi="Arial" w:cs="Arial"/>
          <w:b/>
          <w:color w:val="0070C0"/>
          <w:sz w:val="20"/>
          <w:szCs w:val="20"/>
        </w:rPr>
      </w:pPr>
      <w:r w:rsidRPr="00624F35">
        <w:rPr>
          <w:rFonts w:ascii="Arial" w:hAnsi="Arial" w:cs="Arial"/>
          <w:b/>
          <w:color w:val="0070C0"/>
          <w:sz w:val="20"/>
          <w:szCs w:val="20"/>
        </w:rPr>
        <w:t>Review</w:t>
      </w:r>
    </w:p>
    <w:p w:rsidR="00D44F1A" w:rsidRPr="00624F35" w:rsidRDefault="00D44F1A" w:rsidP="00D44F1A">
      <w:pPr>
        <w:rPr>
          <w:rFonts w:cs="Arial"/>
          <w:sz w:val="20"/>
          <w:szCs w:val="20"/>
        </w:rPr>
      </w:pPr>
      <w:r w:rsidRPr="00624F35">
        <w:rPr>
          <w:rFonts w:cs="Arial"/>
          <w:sz w:val="20"/>
          <w:szCs w:val="20"/>
        </w:rPr>
        <w:t>The initial review period for this strategy is 12 months.</w:t>
      </w:r>
    </w:p>
    <w:p w:rsidR="00D44F1A" w:rsidRPr="00624F35" w:rsidRDefault="00D44F1A" w:rsidP="00D44F1A">
      <w:pPr>
        <w:rPr>
          <w:rFonts w:cs="Arial"/>
          <w:sz w:val="20"/>
          <w:szCs w:val="20"/>
        </w:rPr>
      </w:pPr>
      <w:r w:rsidRPr="00624F35">
        <w:rPr>
          <w:rFonts w:cs="Arial"/>
          <w:sz w:val="20"/>
          <w:szCs w:val="20"/>
        </w:rPr>
        <w:t xml:space="preserve">Supporting documentation will be </w:t>
      </w:r>
      <w:r>
        <w:rPr>
          <w:rFonts w:cs="Arial"/>
          <w:sz w:val="20"/>
          <w:szCs w:val="20"/>
        </w:rPr>
        <w:t xml:space="preserve">reviewed and </w:t>
      </w:r>
      <w:r w:rsidRPr="00624F35">
        <w:rPr>
          <w:rFonts w:cs="Arial"/>
          <w:sz w:val="20"/>
          <w:szCs w:val="20"/>
        </w:rPr>
        <w:t xml:space="preserve">updated as </w:t>
      </w:r>
      <w:r>
        <w:rPr>
          <w:rFonts w:cs="Arial"/>
          <w:sz w:val="20"/>
          <w:szCs w:val="20"/>
        </w:rPr>
        <w:t>the strategy is implemented</w:t>
      </w:r>
      <w:r w:rsidRPr="00624F35">
        <w:rPr>
          <w:rFonts w:cs="Arial"/>
          <w:sz w:val="20"/>
          <w:szCs w:val="20"/>
        </w:rPr>
        <w:t>, including piloting new approaches and implement</w:t>
      </w:r>
      <w:r>
        <w:rPr>
          <w:rFonts w:cs="Arial"/>
          <w:sz w:val="20"/>
          <w:szCs w:val="20"/>
        </w:rPr>
        <w:t>ing</w:t>
      </w:r>
      <w:r w:rsidRPr="00624F35">
        <w:rPr>
          <w:rFonts w:cs="Arial"/>
          <w:sz w:val="20"/>
          <w:szCs w:val="20"/>
        </w:rPr>
        <w:t xml:space="preserve"> the evaluation framework. </w:t>
      </w:r>
    </w:p>
    <w:p w:rsidR="00D44F1A" w:rsidRPr="00624F35" w:rsidRDefault="00D44F1A" w:rsidP="00D44F1A">
      <w:pPr>
        <w:spacing w:after="120"/>
        <w:rPr>
          <w:rFonts w:cs="Arial"/>
          <w:sz w:val="20"/>
          <w:szCs w:val="20"/>
        </w:rPr>
      </w:pPr>
    </w:p>
    <w:p w:rsidR="000F5D90" w:rsidRPr="000E7E28" w:rsidRDefault="000F5D90" w:rsidP="000F5D90"/>
    <w:p w:rsidR="000F5D90" w:rsidRDefault="000F5D90" w:rsidP="000F5D90"/>
    <w:p w:rsidR="004455D7" w:rsidRDefault="004455D7" w:rsidP="000F5D90"/>
    <w:p w:rsidR="004455D7" w:rsidRDefault="004455D7" w:rsidP="000F5D90"/>
    <w:p w:rsidR="004455D7" w:rsidRDefault="004455D7" w:rsidP="000F5D90"/>
    <w:p w:rsidR="004455D7" w:rsidRDefault="004455D7" w:rsidP="000F5D90"/>
    <w:p w:rsidR="004455D7" w:rsidRDefault="004455D7" w:rsidP="000F5D90"/>
    <w:p w:rsidR="004455D7" w:rsidRDefault="004455D7" w:rsidP="000F5D90"/>
    <w:p w:rsidR="004455D7" w:rsidRPr="00670B0B" w:rsidRDefault="004455D7" w:rsidP="000F5D90">
      <w:pPr>
        <w:rPr>
          <w:rFonts w:cs="Arial"/>
          <w:b/>
          <w:color w:val="0070C0"/>
          <w:sz w:val="20"/>
          <w:szCs w:val="20"/>
        </w:rPr>
      </w:pPr>
      <w:r w:rsidRPr="00670B0B">
        <w:rPr>
          <w:rFonts w:cs="Arial"/>
          <w:b/>
          <w:color w:val="0070C0"/>
          <w:sz w:val="20"/>
          <w:szCs w:val="20"/>
        </w:rPr>
        <w:t>Acknowledgements</w:t>
      </w:r>
    </w:p>
    <w:p w:rsidR="004455D7" w:rsidRPr="00670B0B" w:rsidRDefault="004455D7" w:rsidP="000F5D90">
      <w:pPr>
        <w:rPr>
          <w:rFonts w:cs="Arial"/>
          <w:sz w:val="20"/>
          <w:szCs w:val="20"/>
        </w:rPr>
      </w:pPr>
      <w:r w:rsidRPr="00670B0B">
        <w:rPr>
          <w:rFonts w:cs="Arial"/>
          <w:sz w:val="20"/>
          <w:szCs w:val="20"/>
        </w:rPr>
        <w:t>This strategy was developed by the National Boards and AHPRA.</w:t>
      </w:r>
    </w:p>
    <w:p w:rsidR="004455D7" w:rsidRPr="00670B0B" w:rsidRDefault="004455D7" w:rsidP="000F5D90">
      <w:pPr>
        <w:rPr>
          <w:rFonts w:cs="Arial"/>
          <w:b/>
          <w:color w:val="0070C0"/>
          <w:sz w:val="20"/>
          <w:szCs w:val="20"/>
        </w:rPr>
      </w:pPr>
      <w:r w:rsidRPr="00670B0B">
        <w:rPr>
          <w:rFonts w:cs="Arial"/>
          <w:b/>
          <w:color w:val="0070C0"/>
          <w:sz w:val="20"/>
          <w:szCs w:val="20"/>
        </w:rPr>
        <w:t>Copyright</w:t>
      </w:r>
    </w:p>
    <w:p w:rsidR="004455D7" w:rsidRPr="00670B0B" w:rsidRDefault="004455D7" w:rsidP="004455D7">
      <w:pPr>
        <w:pStyle w:val="ListParagraph"/>
        <w:numPr>
          <w:ilvl w:val="0"/>
          <w:numId w:val="23"/>
        </w:numPr>
        <w:rPr>
          <w:rFonts w:ascii="Arial" w:hAnsi="Arial" w:cs="Arial"/>
          <w:sz w:val="20"/>
          <w:szCs w:val="20"/>
        </w:rPr>
      </w:pPr>
      <w:r w:rsidRPr="00670B0B">
        <w:rPr>
          <w:rFonts w:ascii="Arial" w:hAnsi="Arial" w:cs="Arial"/>
          <w:sz w:val="20"/>
          <w:szCs w:val="20"/>
        </w:rPr>
        <w:t>Australian Health Practitioner Regulation Agency 2017</w:t>
      </w:r>
    </w:p>
    <w:p w:rsidR="00670B0B" w:rsidRDefault="00670B0B" w:rsidP="004455D7">
      <w:pPr>
        <w:rPr>
          <w:rFonts w:cs="Arial"/>
          <w:sz w:val="20"/>
          <w:szCs w:val="20"/>
        </w:rPr>
      </w:pPr>
      <w:r>
        <w:rPr>
          <w:rFonts w:cs="Arial"/>
          <w:sz w:val="20"/>
          <w:szCs w:val="20"/>
        </w:rPr>
        <w:t xml:space="preserve">This publication may be photocopied, transmitted and distributed for educational or research purposes. Visit our website at </w:t>
      </w:r>
      <w:hyperlink r:id="rId13" w:history="1">
        <w:r w:rsidRPr="00165B4B">
          <w:rPr>
            <w:rStyle w:val="Hyperlink"/>
            <w:rFonts w:cs="Arial"/>
            <w:sz w:val="20"/>
            <w:szCs w:val="20"/>
          </w:rPr>
          <w:t>www.ahpra.gov.au/Publications/Advertising-resources/Legislation-guidelines.aspx</w:t>
        </w:r>
      </w:hyperlink>
      <w:r>
        <w:rPr>
          <w:rFonts w:cs="Arial"/>
          <w:sz w:val="20"/>
          <w:szCs w:val="20"/>
        </w:rPr>
        <w:t xml:space="preserve"> for PDF and Word versions of this document.</w:t>
      </w:r>
    </w:p>
    <w:p w:rsidR="00670B0B" w:rsidRDefault="00670B0B" w:rsidP="004455D7">
      <w:pPr>
        <w:rPr>
          <w:rFonts w:cs="Arial"/>
          <w:b/>
          <w:color w:val="0070C0"/>
          <w:sz w:val="20"/>
          <w:szCs w:val="20"/>
        </w:rPr>
      </w:pPr>
      <w:r>
        <w:rPr>
          <w:rFonts w:cs="Arial"/>
          <w:b/>
          <w:color w:val="0070C0"/>
          <w:sz w:val="20"/>
          <w:szCs w:val="20"/>
        </w:rPr>
        <w:t>Published</w:t>
      </w:r>
    </w:p>
    <w:p w:rsidR="00670B0B" w:rsidRDefault="00670B0B" w:rsidP="004455D7">
      <w:pPr>
        <w:rPr>
          <w:rFonts w:cs="Arial"/>
          <w:sz w:val="20"/>
          <w:szCs w:val="20"/>
        </w:rPr>
      </w:pPr>
      <w:r>
        <w:rPr>
          <w:rFonts w:cs="Arial"/>
          <w:sz w:val="20"/>
          <w:szCs w:val="20"/>
        </w:rPr>
        <w:t>Australian Health Practitioner Regulation Agency, Melbourne, April 2017</w:t>
      </w:r>
    </w:p>
    <w:p w:rsidR="00670B0B" w:rsidRDefault="00670B0B" w:rsidP="004455D7">
      <w:pPr>
        <w:rPr>
          <w:rFonts w:cs="Arial"/>
          <w:b/>
          <w:color w:val="0070C0"/>
          <w:sz w:val="20"/>
          <w:szCs w:val="20"/>
        </w:rPr>
      </w:pPr>
      <w:r>
        <w:rPr>
          <w:rFonts w:cs="Arial"/>
          <w:b/>
          <w:color w:val="0070C0"/>
          <w:sz w:val="20"/>
          <w:szCs w:val="20"/>
        </w:rPr>
        <w:t>Contact us</w:t>
      </w:r>
    </w:p>
    <w:p w:rsidR="00670B0B" w:rsidRPr="00670B0B" w:rsidRDefault="00670B0B" w:rsidP="004455D7">
      <w:pPr>
        <w:rPr>
          <w:rFonts w:cs="Arial"/>
          <w:b/>
          <w:sz w:val="20"/>
          <w:szCs w:val="20"/>
        </w:rPr>
      </w:pPr>
      <w:r w:rsidRPr="00670B0B">
        <w:rPr>
          <w:rFonts w:cs="Arial"/>
          <w:b/>
          <w:sz w:val="20"/>
          <w:szCs w:val="20"/>
        </w:rPr>
        <w:t>Phone</w:t>
      </w:r>
    </w:p>
    <w:p w:rsidR="00670B0B" w:rsidRPr="00670B0B" w:rsidRDefault="00670B0B" w:rsidP="004455D7">
      <w:pPr>
        <w:rPr>
          <w:rFonts w:cs="Arial"/>
          <w:sz w:val="20"/>
          <w:szCs w:val="20"/>
        </w:rPr>
      </w:pPr>
      <w:r w:rsidRPr="00670B0B">
        <w:rPr>
          <w:rFonts w:cs="Arial"/>
          <w:sz w:val="20"/>
          <w:szCs w:val="20"/>
        </w:rPr>
        <w:t>1300 419 495 (within Australia)</w:t>
      </w:r>
    </w:p>
    <w:p w:rsidR="00670B0B" w:rsidRPr="00670B0B" w:rsidRDefault="00670B0B" w:rsidP="004455D7">
      <w:pPr>
        <w:rPr>
          <w:rFonts w:cs="Arial"/>
          <w:sz w:val="20"/>
          <w:szCs w:val="20"/>
        </w:rPr>
      </w:pPr>
      <w:r w:rsidRPr="00670B0B">
        <w:rPr>
          <w:rFonts w:cs="Arial"/>
          <w:sz w:val="20"/>
          <w:szCs w:val="20"/>
        </w:rPr>
        <w:t>+61 3 9275 9009 (outside Australia)</w:t>
      </w:r>
    </w:p>
    <w:p w:rsidR="00670B0B" w:rsidRDefault="00670B0B" w:rsidP="004455D7">
      <w:pPr>
        <w:rPr>
          <w:rFonts w:cs="Arial"/>
          <w:sz w:val="20"/>
          <w:szCs w:val="20"/>
        </w:rPr>
      </w:pPr>
      <w:r w:rsidRPr="00670B0B">
        <w:rPr>
          <w:rFonts w:cs="Arial"/>
          <w:sz w:val="20"/>
          <w:szCs w:val="20"/>
        </w:rPr>
        <w:t>Monday to Friday 9am-5pm (Australian Eastern Standard Time)</w:t>
      </w:r>
    </w:p>
    <w:p w:rsidR="00BC59C0" w:rsidRPr="00BC59C0" w:rsidRDefault="00BC59C0" w:rsidP="004455D7">
      <w:pPr>
        <w:rPr>
          <w:rFonts w:cs="Arial"/>
          <w:b/>
          <w:sz w:val="20"/>
          <w:szCs w:val="20"/>
        </w:rPr>
      </w:pPr>
      <w:r w:rsidRPr="00BC59C0">
        <w:rPr>
          <w:rFonts w:cs="Arial"/>
          <w:b/>
          <w:sz w:val="20"/>
          <w:szCs w:val="20"/>
        </w:rPr>
        <w:t>Email</w:t>
      </w:r>
    </w:p>
    <w:p w:rsidR="00BC59C0" w:rsidRDefault="00BC59C0" w:rsidP="004455D7">
      <w:pPr>
        <w:rPr>
          <w:rFonts w:cs="Arial"/>
          <w:sz w:val="20"/>
          <w:szCs w:val="20"/>
        </w:rPr>
      </w:pPr>
      <w:r>
        <w:rPr>
          <w:rFonts w:cs="Arial"/>
          <w:sz w:val="20"/>
          <w:szCs w:val="20"/>
        </w:rPr>
        <w:t xml:space="preserve">Via the </w:t>
      </w:r>
      <w:hyperlink r:id="rId14" w:history="1">
        <w:r w:rsidRPr="00BC59C0">
          <w:rPr>
            <w:rStyle w:val="Hyperlink"/>
            <w:rFonts w:cs="Arial"/>
            <w:sz w:val="20"/>
            <w:szCs w:val="20"/>
          </w:rPr>
          <w:t>online enquiry form</w:t>
        </w:r>
      </w:hyperlink>
    </w:p>
    <w:p w:rsidR="00BC59C0" w:rsidRPr="00BC59C0" w:rsidRDefault="00BC59C0" w:rsidP="004455D7">
      <w:pPr>
        <w:rPr>
          <w:rFonts w:cs="Arial"/>
          <w:b/>
          <w:sz w:val="20"/>
          <w:szCs w:val="20"/>
        </w:rPr>
      </w:pPr>
      <w:r w:rsidRPr="00BC59C0">
        <w:rPr>
          <w:rFonts w:cs="Arial"/>
          <w:b/>
          <w:sz w:val="20"/>
          <w:szCs w:val="20"/>
        </w:rPr>
        <w:t>Mail</w:t>
      </w:r>
    </w:p>
    <w:p w:rsidR="00BC59C0" w:rsidRDefault="00BC59C0" w:rsidP="004455D7">
      <w:pPr>
        <w:rPr>
          <w:rFonts w:cs="Arial"/>
          <w:sz w:val="20"/>
          <w:szCs w:val="20"/>
        </w:rPr>
      </w:pPr>
      <w:r>
        <w:rPr>
          <w:rFonts w:cs="Arial"/>
          <w:sz w:val="20"/>
          <w:szCs w:val="20"/>
        </w:rPr>
        <w:t>Publications Manager</w:t>
      </w:r>
    </w:p>
    <w:p w:rsidR="00BC59C0" w:rsidRDefault="00BC59C0" w:rsidP="004455D7">
      <w:pPr>
        <w:rPr>
          <w:rFonts w:cs="Arial"/>
          <w:sz w:val="20"/>
          <w:szCs w:val="20"/>
        </w:rPr>
      </w:pPr>
      <w:r>
        <w:rPr>
          <w:rFonts w:cs="Arial"/>
          <w:sz w:val="20"/>
          <w:szCs w:val="20"/>
        </w:rPr>
        <w:t>AHPRA National Office</w:t>
      </w:r>
    </w:p>
    <w:p w:rsidR="00BC59C0" w:rsidRDefault="00BC59C0" w:rsidP="004455D7">
      <w:pPr>
        <w:rPr>
          <w:rFonts w:cs="Arial"/>
          <w:sz w:val="20"/>
          <w:szCs w:val="20"/>
        </w:rPr>
      </w:pPr>
      <w:r>
        <w:rPr>
          <w:rFonts w:cs="Arial"/>
          <w:sz w:val="20"/>
          <w:szCs w:val="20"/>
        </w:rPr>
        <w:t>GPO Box 9958</w:t>
      </w:r>
    </w:p>
    <w:p w:rsidR="00BC59C0" w:rsidRDefault="00BC59C0" w:rsidP="004455D7">
      <w:pPr>
        <w:rPr>
          <w:rFonts w:cs="Arial"/>
          <w:sz w:val="20"/>
          <w:szCs w:val="20"/>
        </w:rPr>
      </w:pPr>
      <w:r>
        <w:rPr>
          <w:rFonts w:cs="Arial"/>
          <w:sz w:val="20"/>
          <w:szCs w:val="20"/>
        </w:rPr>
        <w:t>Melbourne VIC 3000</w:t>
      </w:r>
    </w:p>
    <w:p w:rsidR="00BC59C0" w:rsidRPr="00BC59C0" w:rsidRDefault="00BC59C0" w:rsidP="004455D7">
      <w:pPr>
        <w:rPr>
          <w:rFonts w:cs="Arial"/>
          <w:b/>
          <w:sz w:val="20"/>
          <w:szCs w:val="20"/>
        </w:rPr>
      </w:pPr>
      <w:r w:rsidRPr="00BC59C0">
        <w:rPr>
          <w:rFonts w:cs="Arial"/>
          <w:b/>
          <w:sz w:val="20"/>
          <w:szCs w:val="20"/>
        </w:rPr>
        <w:t>Web</w:t>
      </w:r>
    </w:p>
    <w:p w:rsidR="00BC59C0" w:rsidRDefault="00CD7BFC" w:rsidP="004455D7">
      <w:pPr>
        <w:rPr>
          <w:rFonts w:cs="Arial"/>
          <w:sz w:val="20"/>
          <w:szCs w:val="20"/>
        </w:rPr>
      </w:pPr>
      <w:hyperlink r:id="rId15" w:history="1">
        <w:r w:rsidR="00BC59C0" w:rsidRPr="007F2D1A">
          <w:rPr>
            <w:rStyle w:val="Hyperlink"/>
            <w:rFonts w:cs="Arial"/>
            <w:sz w:val="20"/>
            <w:szCs w:val="20"/>
          </w:rPr>
          <w:t>www.ahpra.gov.au</w:t>
        </w:r>
      </w:hyperlink>
      <w:r w:rsidR="00BC59C0">
        <w:rPr>
          <w:rFonts w:cs="Arial"/>
          <w:sz w:val="20"/>
          <w:szCs w:val="20"/>
        </w:rPr>
        <w:t xml:space="preserve"> </w:t>
      </w:r>
    </w:p>
    <w:p w:rsidR="00BC59C0" w:rsidRDefault="00BC59C0" w:rsidP="004455D7">
      <w:pPr>
        <w:rPr>
          <w:rFonts w:cs="Arial"/>
          <w:b/>
          <w:color w:val="0070C0"/>
          <w:sz w:val="20"/>
          <w:szCs w:val="20"/>
        </w:rPr>
      </w:pPr>
      <w:r>
        <w:rPr>
          <w:rFonts w:cs="Arial"/>
          <w:b/>
          <w:color w:val="0070C0"/>
          <w:sz w:val="20"/>
          <w:szCs w:val="20"/>
        </w:rPr>
        <w:t>Find us</w:t>
      </w:r>
    </w:p>
    <w:p w:rsidR="00BC59C0" w:rsidRDefault="00CD7BFC" w:rsidP="00BC59C0">
      <w:pPr>
        <w:pStyle w:val="AHPRAbody"/>
        <w:rPr>
          <w:color w:val="0000FF"/>
          <w:u w:val="single"/>
        </w:rPr>
      </w:pPr>
      <w:hyperlink r:id="rId16" w:history="1">
        <w:r w:rsidR="00BC59C0">
          <w:rPr>
            <w:rStyle w:val="Hyperlink"/>
          </w:rPr>
          <w:t>Facebook</w:t>
        </w:r>
      </w:hyperlink>
      <w:r w:rsidR="00BC59C0">
        <w:t xml:space="preserve"> </w:t>
      </w:r>
      <w:hyperlink r:id="rId17" w:history="1">
        <w:r w:rsidR="00BC59C0">
          <w:rPr>
            <w:rStyle w:val="Hyperlink"/>
          </w:rPr>
          <w:t>Twitter</w:t>
        </w:r>
      </w:hyperlink>
      <w:r w:rsidR="00BC59C0">
        <w:t xml:space="preserve"> </w:t>
      </w:r>
      <w:hyperlink r:id="rId18" w:history="1">
        <w:r w:rsidR="00BC59C0">
          <w:rPr>
            <w:rStyle w:val="Hyperlink"/>
          </w:rPr>
          <w:t>LinkedIn</w:t>
        </w:r>
      </w:hyperlink>
    </w:p>
    <w:tbl>
      <w:tblPr>
        <w:tblpPr w:leftFromText="180" w:rightFromText="180" w:vertAnchor="text"/>
        <w:tblW w:w="0" w:type="auto"/>
        <w:tblCellMar>
          <w:left w:w="0" w:type="dxa"/>
          <w:right w:w="0" w:type="dxa"/>
        </w:tblCellMar>
        <w:tblLook w:val="04A0" w:firstRow="1" w:lastRow="0" w:firstColumn="1" w:lastColumn="0" w:noHBand="0" w:noVBand="1"/>
      </w:tblPr>
      <w:tblGrid>
        <w:gridCol w:w="696"/>
        <w:gridCol w:w="696"/>
        <w:gridCol w:w="666"/>
      </w:tblGrid>
      <w:tr w:rsidR="00BC59C0" w:rsidTr="00BC59C0">
        <w:tc>
          <w:tcPr>
            <w:tcW w:w="696" w:type="dxa"/>
            <w:shd w:val="clear" w:color="auto" w:fill="FFFFFF"/>
            <w:tcMar>
              <w:top w:w="0" w:type="dxa"/>
              <w:left w:w="108" w:type="dxa"/>
              <w:bottom w:w="0" w:type="dxa"/>
              <w:right w:w="108" w:type="dxa"/>
            </w:tcMar>
            <w:hideMark/>
          </w:tcPr>
          <w:p w:rsidR="00BC59C0" w:rsidRDefault="00BC59C0">
            <w:pPr>
              <w:pStyle w:val="AHPRAbody"/>
            </w:pPr>
            <w:r>
              <w:rPr>
                <w:noProof/>
                <w:lang w:eastAsia="en-AU"/>
              </w:rPr>
              <w:drawing>
                <wp:inline distT="0" distB="0" distL="0" distR="0">
                  <wp:extent cx="295275" cy="295275"/>
                  <wp:effectExtent l="0" t="0" r="9525" b="9525"/>
                  <wp:docPr id="7" name="Picture 3" descr="Facebook ic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9360.6EACAF40"/>
                          <pic:cNvPicPr>
                            <a:picLocks noChangeAspect="1" noChangeArrowheads="1"/>
                          </pic:cNvPicPr>
                        </pic:nvPicPr>
                        <pic:blipFill>
                          <a:blip r:embed="rId19" r:link="rId20"/>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696" w:type="dxa"/>
            <w:shd w:val="clear" w:color="auto" w:fill="FFFFFF"/>
            <w:tcMar>
              <w:top w:w="0" w:type="dxa"/>
              <w:left w:w="108" w:type="dxa"/>
              <w:bottom w:w="0" w:type="dxa"/>
              <w:right w:w="108" w:type="dxa"/>
            </w:tcMar>
            <w:hideMark/>
          </w:tcPr>
          <w:p w:rsidR="00BC59C0" w:rsidRDefault="00BC59C0">
            <w:pPr>
              <w:pStyle w:val="AHPRAbody"/>
            </w:pPr>
            <w:r>
              <w:rPr>
                <w:noProof/>
                <w:lang w:eastAsia="en-AU"/>
              </w:rPr>
              <w:drawing>
                <wp:inline distT="0" distB="0" distL="0" distR="0">
                  <wp:extent cx="295275" cy="295275"/>
                  <wp:effectExtent l="0" t="0" r="9525" b="9525"/>
                  <wp:docPr id="5" name="Picture 2" descr="Twitter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29360.6EACAF40"/>
                          <pic:cNvPicPr>
                            <a:picLocks noChangeAspect="1" noChangeArrowheads="1"/>
                          </pic:cNvPicPr>
                        </pic:nvPicPr>
                        <pic:blipFill>
                          <a:blip r:embed="rId21" r:link="rId22"/>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666" w:type="dxa"/>
            <w:shd w:val="clear" w:color="auto" w:fill="FFFFFF"/>
            <w:tcMar>
              <w:top w:w="0" w:type="dxa"/>
              <w:left w:w="108" w:type="dxa"/>
              <w:bottom w:w="0" w:type="dxa"/>
              <w:right w:w="108" w:type="dxa"/>
            </w:tcMar>
            <w:hideMark/>
          </w:tcPr>
          <w:p w:rsidR="00BC59C0" w:rsidRDefault="00BC59C0">
            <w:pPr>
              <w:pStyle w:val="AHPRAbody"/>
            </w:pPr>
            <w:r>
              <w:rPr>
                <w:noProof/>
                <w:lang w:eastAsia="en-AU"/>
              </w:rPr>
              <w:drawing>
                <wp:inline distT="0" distB="0" distL="0" distR="0">
                  <wp:extent cx="285750" cy="285750"/>
                  <wp:effectExtent l="0" t="0" r="0" b="0"/>
                  <wp:docPr id="1" name="Picture 1" descr="Linked in ico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29360.6EACAF40"/>
                          <pic:cNvPicPr>
                            <a:picLocks noChangeAspect="1" noChangeArrowheads="1"/>
                          </pic:cNvPicPr>
                        </pic:nvPicPr>
                        <pic:blipFill>
                          <a:blip r:embed="rId24" r:link="rId25"/>
                          <a:srcRect/>
                          <a:stretch>
                            <a:fillRect/>
                          </a:stretch>
                        </pic:blipFill>
                        <pic:spPr bwMode="auto">
                          <a:xfrm>
                            <a:off x="0" y="0"/>
                            <a:ext cx="285750" cy="285750"/>
                          </a:xfrm>
                          <a:prstGeom prst="rect">
                            <a:avLst/>
                          </a:prstGeom>
                          <a:noFill/>
                          <a:ln w="9525">
                            <a:noFill/>
                            <a:miter lim="800000"/>
                            <a:headEnd/>
                            <a:tailEnd/>
                          </a:ln>
                        </pic:spPr>
                      </pic:pic>
                    </a:graphicData>
                  </a:graphic>
                </wp:inline>
              </w:drawing>
            </w:r>
          </w:p>
        </w:tc>
      </w:tr>
    </w:tbl>
    <w:p w:rsidR="00BC59C0" w:rsidRPr="00670B0B" w:rsidRDefault="00BC59C0" w:rsidP="004455D7">
      <w:pPr>
        <w:rPr>
          <w:rFonts w:cs="Arial"/>
          <w:sz w:val="20"/>
          <w:szCs w:val="20"/>
        </w:rPr>
      </w:pPr>
    </w:p>
    <w:p w:rsidR="004455D7" w:rsidRPr="00670B0B" w:rsidRDefault="004455D7" w:rsidP="000F5D90">
      <w:pPr>
        <w:rPr>
          <w:rFonts w:cs="Arial"/>
          <w:sz w:val="20"/>
          <w:szCs w:val="20"/>
        </w:rPr>
      </w:pPr>
    </w:p>
    <w:p w:rsidR="000F5D90" w:rsidRPr="00670B0B" w:rsidRDefault="000F5D90" w:rsidP="000F5D90">
      <w:pPr>
        <w:rPr>
          <w:rFonts w:cs="Arial"/>
          <w:sz w:val="20"/>
          <w:szCs w:val="20"/>
        </w:rPr>
      </w:pPr>
    </w:p>
    <w:p w:rsidR="000F5D90" w:rsidRPr="00670B0B" w:rsidRDefault="000F5D90" w:rsidP="000F5D90">
      <w:pPr>
        <w:rPr>
          <w:rFonts w:cs="Arial"/>
          <w:sz w:val="20"/>
          <w:szCs w:val="20"/>
        </w:rPr>
      </w:pPr>
    </w:p>
    <w:p w:rsidR="000F5D90" w:rsidRPr="00670B0B" w:rsidRDefault="000F5D90" w:rsidP="000F5D90">
      <w:pPr>
        <w:rPr>
          <w:rFonts w:cs="Arial"/>
          <w:sz w:val="20"/>
          <w:szCs w:val="20"/>
        </w:rPr>
      </w:pPr>
    </w:p>
    <w:p w:rsidR="000F5D90" w:rsidRPr="00670B0B" w:rsidRDefault="000F5D90" w:rsidP="000F5D90">
      <w:pPr>
        <w:rPr>
          <w:rFonts w:cs="Arial"/>
          <w:sz w:val="20"/>
          <w:szCs w:val="20"/>
        </w:rPr>
      </w:pPr>
    </w:p>
    <w:p w:rsidR="00E77E23" w:rsidRPr="000E7E28" w:rsidRDefault="000F5D90" w:rsidP="000F5D90">
      <w:pPr>
        <w:tabs>
          <w:tab w:val="left" w:pos="5678"/>
        </w:tabs>
      </w:pPr>
      <w:r w:rsidRPr="000E7E28">
        <w:tab/>
      </w:r>
    </w:p>
    <w:sectPr w:rsidR="00E77E23" w:rsidRPr="000E7E28" w:rsidSect="004B438E">
      <w:headerReference w:type="default" r:id="rId26"/>
      <w:footerReference w:type="even" r:id="rId27"/>
      <w:footerReference w:type="default" r:id="rId28"/>
      <w:headerReference w:type="first" r:id="rId29"/>
      <w:footerReference w:type="first" r:id="rId30"/>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BFC" w:rsidRDefault="00CD7BFC" w:rsidP="00FC2881">
      <w:pPr>
        <w:spacing w:after="0"/>
      </w:pPr>
      <w:r>
        <w:separator/>
      </w:r>
    </w:p>
    <w:p w:rsidR="00CD7BFC" w:rsidRDefault="00CD7BFC"/>
  </w:endnote>
  <w:endnote w:type="continuationSeparator" w:id="0">
    <w:p w:rsidR="00CD7BFC" w:rsidRDefault="00CD7BFC" w:rsidP="00FC2881">
      <w:pPr>
        <w:spacing w:after="0"/>
      </w:pPr>
      <w:r>
        <w:continuationSeparator/>
      </w:r>
    </w:p>
    <w:p w:rsidR="00CD7BFC" w:rsidRDefault="00CD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F7" w:rsidRDefault="0037038B" w:rsidP="00FC2881">
    <w:pPr>
      <w:pStyle w:val="AHPRAfootnote"/>
      <w:framePr w:wrap="around" w:vAnchor="text" w:hAnchor="margin" w:xAlign="right" w:y="1"/>
    </w:pPr>
    <w:r>
      <w:fldChar w:fldCharType="begin"/>
    </w:r>
    <w:r w:rsidR="000A6BF7">
      <w:instrText xml:space="preserve">PAGE  </w:instrText>
    </w:r>
    <w:r>
      <w:fldChar w:fldCharType="end"/>
    </w:r>
  </w:p>
  <w:p w:rsidR="000A6BF7" w:rsidRDefault="000A6BF7" w:rsidP="00FC2881">
    <w:pPr>
      <w:pStyle w:val="AHPRAfootnote"/>
      <w:ind w:right="360"/>
    </w:pPr>
  </w:p>
  <w:p w:rsidR="000A6BF7" w:rsidRDefault="000A6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E28" w:rsidRDefault="00D44F1A" w:rsidP="001506FE">
    <w:pPr>
      <w:pStyle w:val="AHPRAfooter"/>
      <w:rPr>
        <w:szCs w:val="16"/>
      </w:rPr>
    </w:pPr>
    <w:r>
      <w:rPr>
        <w:szCs w:val="16"/>
      </w:rPr>
      <w:t>Advertising compliance and enforcement strategy for the National Scheme</w:t>
    </w:r>
    <w:r w:rsidR="00E77E23" w:rsidRPr="00E77E23">
      <w:rPr>
        <w:szCs w:val="16"/>
      </w:rPr>
      <w:t>/</w:t>
    </w:r>
    <w:r w:rsidR="00BA674A">
      <w:rPr>
        <w:szCs w:val="16"/>
      </w:rPr>
      <w:t>June 2019</w:t>
    </w:r>
  </w:p>
  <w:p w:rsidR="000A6BF7" w:rsidRPr="000E7E28" w:rsidRDefault="00CD7BFC" w:rsidP="000E7E28">
    <w:pPr>
      <w:pStyle w:val="AHPRApagenumber"/>
    </w:pPr>
    <w:sdt>
      <w:sdtPr>
        <w:id w:val="16333165"/>
        <w:docPartObj>
          <w:docPartGallery w:val="Page Numbers (Top of Page)"/>
          <w:docPartUnique/>
        </w:docPartObj>
      </w:sdtPr>
      <w:sdtEndPr/>
      <w:sdtContent>
        <w:r w:rsidR="001506FE" w:rsidRPr="000E7E28">
          <w:t xml:space="preserve">Page </w:t>
        </w:r>
        <w:r w:rsidR="00F26DF6">
          <w:fldChar w:fldCharType="begin"/>
        </w:r>
        <w:r w:rsidR="00F26DF6">
          <w:instrText xml:space="preserve"> PAGE </w:instrText>
        </w:r>
        <w:r w:rsidR="00F26DF6">
          <w:fldChar w:fldCharType="separate"/>
        </w:r>
        <w:r w:rsidR="003A2491">
          <w:rPr>
            <w:noProof/>
          </w:rPr>
          <w:t>9</w:t>
        </w:r>
        <w:r w:rsidR="00F26DF6">
          <w:rPr>
            <w:noProof/>
          </w:rPr>
          <w:fldChar w:fldCharType="end"/>
        </w:r>
        <w:r w:rsidR="00E77E23" w:rsidRPr="000E7E28">
          <w:t xml:space="preserve"> of </w:t>
        </w:r>
        <w:r w:rsidR="00F26DF6">
          <w:fldChar w:fldCharType="begin"/>
        </w:r>
        <w:r w:rsidR="00F26DF6">
          <w:instrText xml:space="preserve"> NUMPAGES  </w:instrText>
        </w:r>
        <w:r w:rsidR="00F26DF6">
          <w:fldChar w:fldCharType="separate"/>
        </w:r>
        <w:r w:rsidR="003A2491">
          <w:rPr>
            <w:noProof/>
          </w:rPr>
          <w:t>9</w:t>
        </w:r>
        <w:r w:rsidR="00F26DF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E23" w:rsidRPr="00E77E23" w:rsidRDefault="00E77E23"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E77E23" w:rsidRDefault="00E77E23"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BFC" w:rsidRDefault="00CD7BFC" w:rsidP="000E7E28">
      <w:pPr>
        <w:spacing w:after="0"/>
      </w:pPr>
      <w:r>
        <w:separator/>
      </w:r>
    </w:p>
  </w:footnote>
  <w:footnote w:type="continuationSeparator" w:id="0">
    <w:p w:rsidR="00CD7BFC" w:rsidRDefault="00CD7BFC" w:rsidP="00FC2881">
      <w:pPr>
        <w:spacing w:after="0"/>
      </w:pPr>
      <w:r>
        <w:continuationSeparator/>
      </w:r>
    </w:p>
    <w:p w:rsidR="00CD7BFC" w:rsidRDefault="00CD7BFC"/>
  </w:footnote>
  <w:footnote w:type="continuationNotice" w:id="1">
    <w:p w:rsidR="00CD7BFC" w:rsidRDefault="00CD7BFC">
      <w:pPr>
        <w:spacing w:after="0"/>
      </w:pPr>
    </w:p>
  </w:footnote>
  <w:footnote w:id="2">
    <w:p w:rsidR="00D44F1A" w:rsidRDefault="00D44F1A" w:rsidP="00D44F1A">
      <w:pPr>
        <w:pStyle w:val="FootnoteText"/>
      </w:pPr>
      <w:r>
        <w:rPr>
          <w:rStyle w:val="FootnoteReference"/>
        </w:rPr>
        <w:footnoteRef/>
      </w:r>
      <w:r>
        <w:t xml:space="preserve"> Ayres I</w:t>
      </w:r>
      <w:r w:rsidR="002D6F4D">
        <w:t>,</w:t>
      </w:r>
      <w:r>
        <w:t xml:space="preserve"> Braithwaite</w:t>
      </w:r>
      <w:r w:rsidR="002D6F4D">
        <w:t xml:space="preserve"> J</w:t>
      </w:r>
      <w:r>
        <w:t xml:space="preserve">. </w:t>
      </w:r>
      <w:r w:rsidR="002D6F4D">
        <w:t>Responsive r</w:t>
      </w:r>
      <w:r>
        <w:t xml:space="preserve">egulation: </w:t>
      </w:r>
      <w:r w:rsidR="002D6F4D">
        <w:t>t</w:t>
      </w:r>
      <w:r>
        <w:t xml:space="preserve">ranscending the </w:t>
      </w:r>
      <w:r w:rsidR="002D6F4D">
        <w:t>d</w:t>
      </w:r>
      <w:r>
        <w:t xml:space="preserve">eregulation </w:t>
      </w:r>
      <w:r w:rsidR="002D6F4D">
        <w:t>d</w:t>
      </w:r>
      <w:r>
        <w:t>ebate. New York: Oxford University Press</w:t>
      </w:r>
      <w:r w:rsidR="002D6F4D">
        <w:t>, 1992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F7" w:rsidRPr="00315933" w:rsidRDefault="000A6BF7" w:rsidP="00D638E0">
    <w:pPr>
      <w:ind w:left="-1134" w:right="-567"/>
      <w:jc w:val="right"/>
    </w:pPr>
  </w:p>
  <w:p w:rsidR="000A6BF7" w:rsidRDefault="000A6BF7"/>
  <w:p w:rsidR="00947DCA" w:rsidRDefault="00947D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F7" w:rsidRDefault="000A6BF7" w:rsidP="00E844A0"/>
  <w:p w:rsidR="000A6BF7" w:rsidRDefault="000A6BF7" w:rsidP="00E844A0"/>
  <w:p w:rsidR="000A6BF7" w:rsidRDefault="000A6BF7" w:rsidP="00E844A0"/>
  <w:p w:rsidR="000A6BF7" w:rsidRDefault="000A6BF7" w:rsidP="00E844A0"/>
  <w:p w:rsidR="000A6BF7" w:rsidRDefault="006D6D35" w:rsidP="00E844A0">
    <w:r>
      <w:rPr>
        <w:noProof/>
        <w:lang w:eastAsia="en-AU"/>
      </w:rPr>
      <w:drawing>
        <wp:anchor distT="0" distB="0" distL="114300" distR="114300" simplePos="0" relativeHeight="251659264" behindDoc="0" locked="0" layoutInCell="1" allowOverlap="1" wp14:anchorId="5F45DF07" wp14:editId="1689F0BA">
          <wp:simplePos x="0" y="0"/>
          <wp:positionH relativeFrom="page">
            <wp:posOffset>3809365</wp:posOffset>
          </wp:positionH>
          <wp:positionV relativeFrom="page">
            <wp:posOffset>144145</wp:posOffset>
          </wp:positionV>
          <wp:extent cx="3505200" cy="1457325"/>
          <wp:effectExtent l="0" t="0" r="0" b="9525"/>
          <wp:wrapSquare wrapText="bothSides"/>
          <wp:docPr id="8" name="Picture 0" descr="AHPRA and National Board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0A6BF7" w:rsidRDefault="000A6BF7" w:rsidP="00E84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B23"/>
    <w:multiLevelType w:val="hybridMultilevel"/>
    <w:tmpl w:val="980ECF98"/>
    <w:lvl w:ilvl="0" w:tplc="816696CA">
      <w:start w:val="1"/>
      <w:numFmt w:val="decimal"/>
      <w:pStyle w:val="AHPRAbodyContextparanumbered"/>
      <w:lvlText w:val="%1."/>
      <w:lvlJc w:val="left"/>
      <w:pPr>
        <w:ind w:left="360" w:hanging="360"/>
      </w:pPr>
      <w:rPr>
        <w:rFonts w:ascii="Arial" w:hAnsi="Arial" w:hint="default"/>
        <w:b w:val="0"/>
        <w:i w:val="0"/>
        <w:color w:val="auto"/>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574FF6"/>
    <w:multiLevelType w:val="hybridMultilevel"/>
    <w:tmpl w:val="C1067BDA"/>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C037DB3"/>
    <w:multiLevelType w:val="multilevel"/>
    <w:tmpl w:val="BE20683A"/>
    <w:numStyleLink w:val="AHPRANumberedheadinglist"/>
  </w:abstractNum>
  <w:abstractNum w:abstractNumId="5"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15:restartNumberingAfterBreak="0">
    <w:nsid w:val="0E8C447F"/>
    <w:multiLevelType w:val="hybridMultilevel"/>
    <w:tmpl w:val="0FBE6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2D19FF"/>
    <w:multiLevelType w:val="multilevel"/>
    <w:tmpl w:val="BE20683A"/>
    <w:numStyleLink w:val="AHPRANumberedheadinglist"/>
  </w:abstractNum>
  <w:abstractNum w:abstractNumId="8" w15:restartNumberingAfterBreak="0">
    <w:nsid w:val="1AC77498"/>
    <w:multiLevelType w:val="hybridMultilevel"/>
    <w:tmpl w:val="97949A94"/>
    <w:lvl w:ilvl="0" w:tplc="01BCC75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51D05"/>
    <w:multiLevelType w:val="hybridMultilevel"/>
    <w:tmpl w:val="071E8A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171EB1"/>
    <w:multiLevelType w:val="hybridMultilevel"/>
    <w:tmpl w:val="418CF1A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32341"/>
    <w:multiLevelType w:val="hybridMultilevel"/>
    <w:tmpl w:val="9000F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2578D"/>
    <w:multiLevelType w:val="multilevel"/>
    <w:tmpl w:val="BE20683A"/>
    <w:numStyleLink w:val="AHPRANumberedheadinglist"/>
  </w:abstractNum>
  <w:abstractNum w:abstractNumId="13"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D04FC"/>
    <w:multiLevelType w:val="hybridMultilevel"/>
    <w:tmpl w:val="A594980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4433A"/>
    <w:multiLevelType w:val="multilevel"/>
    <w:tmpl w:val="C4183F12"/>
    <w:numStyleLink w:val="AHPRANumberedlist"/>
  </w:abstractNum>
  <w:abstractNum w:abstractNumId="17" w15:restartNumberingAfterBreak="0">
    <w:nsid w:val="6A516981"/>
    <w:multiLevelType w:val="multilevel"/>
    <w:tmpl w:val="8DB0412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8C2E40"/>
    <w:multiLevelType w:val="hybridMultilevel"/>
    <w:tmpl w:val="EF286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E154B0"/>
    <w:multiLevelType w:val="multilevel"/>
    <w:tmpl w:val="C4183F12"/>
    <w:numStyleLink w:val="AHPRANumberedlist"/>
  </w:abstractNum>
  <w:abstractNum w:abstractNumId="21"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31660"/>
    <w:multiLevelType w:val="multilevel"/>
    <w:tmpl w:val="C4183F12"/>
    <w:numStyleLink w:val="AHPRANumberedlist"/>
  </w:abstractNum>
  <w:num w:numId="1">
    <w:abstractNumId w:val="18"/>
  </w:num>
  <w:num w:numId="2">
    <w:abstractNumId w:val="15"/>
  </w:num>
  <w:num w:numId="3">
    <w:abstractNumId w:val="3"/>
  </w:num>
  <w:num w:numId="4">
    <w:abstractNumId w:val="5"/>
  </w:num>
  <w:num w:numId="5">
    <w:abstractNumId w:val="7"/>
  </w:num>
  <w:num w:numId="6">
    <w:abstractNumId w:val="12"/>
  </w:num>
  <w:num w:numId="7">
    <w:abstractNumId w:val="2"/>
  </w:num>
  <w:num w:numId="8">
    <w:abstractNumId w:val="13"/>
  </w:num>
  <w:num w:numId="9">
    <w:abstractNumId w:val="21"/>
  </w:num>
  <w:num w:numId="10">
    <w:abstractNumId w:val="16"/>
  </w:num>
  <w:num w:numId="11">
    <w:abstractNumId w:val="4"/>
  </w:num>
  <w:num w:numId="12">
    <w:abstractNumId w:val="20"/>
  </w:num>
  <w:num w:numId="13">
    <w:abstractNumId w:val="22"/>
  </w:num>
  <w:num w:numId="14">
    <w:abstractNumId w:val="6"/>
  </w:num>
  <w:num w:numId="15">
    <w:abstractNumId w:val="11"/>
  </w:num>
  <w:num w:numId="16">
    <w:abstractNumId w:val="0"/>
  </w:num>
  <w:num w:numId="17">
    <w:abstractNumId w:val="9"/>
  </w:num>
  <w:num w:numId="18">
    <w:abstractNumId w:val="17"/>
  </w:num>
  <w:num w:numId="19">
    <w:abstractNumId w:val="19"/>
  </w:num>
  <w:num w:numId="20">
    <w:abstractNumId w:val="1"/>
  </w:num>
  <w:num w:numId="21">
    <w:abstractNumId w:val="10"/>
  </w:num>
  <w:num w:numId="22">
    <w:abstractNumId w:val="14"/>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1" w:cryptProviderType="rsaAES" w:cryptAlgorithmClass="hash" w:cryptAlgorithmType="typeAny" w:cryptAlgorithmSid="14" w:cryptSpinCount="100000" w:hash="Oi5AMlEumcFoXssK+hgOUp30sxu9XjsbVAJATPux5FHjC33w2/dl4yCcvo3cJEF52zpBEtkVfR0BRvFGbSDzGA==" w:salt="+es0ZZvNYNiGAB39lgqJEQ=="/>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D7"/>
    <w:rsid w:val="00000033"/>
    <w:rsid w:val="00006922"/>
    <w:rsid w:val="000334D7"/>
    <w:rsid w:val="00054540"/>
    <w:rsid w:val="00071439"/>
    <w:rsid w:val="000945FB"/>
    <w:rsid w:val="000A6BF7"/>
    <w:rsid w:val="000E7E28"/>
    <w:rsid w:val="000F5D90"/>
    <w:rsid w:val="0010139F"/>
    <w:rsid w:val="00144DEF"/>
    <w:rsid w:val="001506FE"/>
    <w:rsid w:val="00196F14"/>
    <w:rsid w:val="001B3D3E"/>
    <w:rsid w:val="001C425C"/>
    <w:rsid w:val="001E1E31"/>
    <w:rsid w:val="001E2849"/>
    <w:rsid w:val="001E4A94"/>
    <w:rsid w:val="001E5621"/>
    <w:rsid w:val="00220A3B"/>
    <w:rsid w:val="00224708"/>
    <w:rsid w:val="0028013F"/>
    <w:rsid w:val="00295B44"/>
    <w:rsid w:val="002B2D48"/>
    <w:rsid w:val="002C08FB"/>
    <w:rsid w:val="002C34EA"/>
    <w:rsid w:val="002D6F4D"/>
    <w:rsid w:val="00303BE1"/>
    <w:rsid w:val="00305AFC"/>
    <w:rsid w:val="003354E4"/>
    <w:rsid w:val="0037038B"/>
    <w:rsid w:val="00393516"/>
    <w:rsid w:val="003A2491"/>
    <w:rsid w:val="003D6DBD"/>
    <w:rsid w:val="003E00B5"/>
    <w:rsid w:val="003E3268"/>
    <w:rsid w:val="003F2F06"/>
    <w:rsid w:val="00405C0A"/>
    <w:rsid w:val="00414F2C"/>
    <w:rsid w:val="004455D7"/>
    <w:rsid w:val="00450B34"/>
    <w:rsid w:val="004606A7"/>
    <w:rsid w:val="004A5E5D"/>
    <w:rsid w:val="004B438E"/>
    <w:rsid w:val="004B747B"/>
    <w:rsid w:val="004D7537"/>
    <w:rsid w:val="004F5C05"/>
    <w:rsid w:val="00516EF2"/>
    <w:rsid w:val="0053749F"/>
    <w:rsid w:val="00546B56"/>
    <w:rsid w:val="00553A4C"/>
    <w:rsid w:val="00554335"/>
    <w:rsid w:val="005565CE"/>
    <w:rsid w:val="005708AE"/>
    <w:rsid w:val="005A0FA9"/>
    <w:rsid w:val="005A2712"/>
    <w:rsid w:val="005C5932"/>
    <w:rsid w:val="005C6817"/>
    <w:rsid w:val="00616043"/>
    <w:rsid w:val="006401F9"/>
    <w:rsid w:val="00640B2C"/>
    <w:rsid w:val="00667CAD"/>
    <w:rsid w:val="00670B0B"/>
    <w:rsid w:val="00670F48"/>
    <w:rsid w:val="00672A98"/>
    <w:rsid w:val="00681D5E"/>
    <w:rsid w:val="006C0257"/>
    <w:rsid w:val="006C0E29"/>
    <w:rsid w:val="006D30FE"/>
    <w:rsid w:val="006D3757"/>
    <w:rsid w:val="006D45FD"/>
    <w:rsid w:val="006D6D35"/>
    <w:rsid w:val="006F585B"/>
    <w:rsid w:val="006F7348"/>
    <w:rsid w:val="006F796D"/>
    <w:rsid w:val="0070155F"/>
    <w:rsid w:val="007372A4"/>
    <w:rsid w:val="00741B04"/>
    <w:rsid w:val="0076115C"/>
    <w:rsid w:val="007664F3"/>
    <w:rsid w:val="0079197C"/>
    <w:rsid w:val="007A35B9"/>
    <w:rsid w:val="007B5498"/>
    <w:rsid w:val="007B77D6"/>
    <w:rsid w:val="007C0B6E"/>
    <w:rsid w:val="007D4836"/>
    <w:rsid w:val="007E2C84"/>
    <w:rsid w:val="007E3545"/>
    <w:rsid w:val="007F0095"/>
    <w:rsid w:val="008338F7"/>
    <w:rsid w:val="00836397"/>
    <w:rsid w:val="00845054"/>
    <w:rsid w:val="00852D1C"/>
    <w:rsid w:val="00856147"/>
    <w:rsid w:val="00860F40"/>
    <w:rsid w:val="008615C9"/>
    <w:rsid w:val="00864020"/>
    <w:rsid w:val="00866839"/>
    <w:rsid w:val="008979D5"/>
    <w:rsid w:val="008A4C3B"/>
    <w:rsid w:val="008B2AD7"/>
    <w:rsid w:val="008D6B7E"/>
    <w:rsid w:val="008D7845"/>
    <w:rsid w:val="009031EA"/>
    <w:rsid w:val="00923B23"/>
    <w:rsid w:val="00937ED0"/>
    <w:rsid w:val="00947DCA"/>
    <w:rsid w:val="00952797"/>
    <w:rsid w:val="009777D3"/>
    <w:rsid w:val="009859E6"/>
    <w:rsid w:val="009A0A5D"/>
    <w:rsid w:val="009C6933"/>
    <w:rsid w:val="00A04C7A"/>
    <w:rsid w:val="00A058E5"/>
    <w:rsid w:val="00A10C1A"/>
    <w:rsid w:val="00A2072E"/>
    <w:rsid w:val="00A237BB"/>
    <w:rsid w:val="00A250D4"/>
    <w:rsid w:val="00A44007"/>
    <w:rsid w:val="00A458ED"/>
    <w:rsid w:val="00A509AB"/>
    <w:rsid w:val="00A82078"/>
    <w:rsid w:val="00A838C8"/>
    <w:rsid w:val="00A91C42"/>
    <w:rsid w:val="00A9516B"/>
    <w:rsid w:val="00A9780A"/>
    <w:rsid w:val="00AA00AF"/>
    <w:rsid w:val="00AA2FC9"/>
    <w:rsid w:val="00AB283D"/>
    <w:rsid w:val="00AD312E"/>
    <w:rsid w:val="00AE3EAF"/>
    <w:rsid w:val="00B024B0"/>
    <w:rsid w:val="00B34EDA"/>
    <w:rsid w:val="00B51748"/>
    <w:rsid w:val="00B57198"/>
    <w:rsid w:val="00B800A0"/>
    <w:rsid w:val="00B85023"/>
    <w:rsid w:val="00BA2456"/>
    <w:rsid w:val="00BA469B"/>
    <w:rsid w:val="00BA674A"/>
    <w:rsid w:val="00BB4A5B"/>
    <w:rsid w:val="00BC59C0"/>
    <w:rsid w:val="00BF2534"/>
    <w:rsid w:val="00BF79DC"/>
    <w:rsid w:val="00C35DE1"/>
    <w:rsid w:val="00C3795C"/>
    <w:rsid w:val="00C524AA"/>
    <w:rsid w:val="00C54689"/>
    <w:rsid w:val="00C81B3A"/>
    <w:rsid w:val="00CB6C08"/>
    <w:rsid w:val="00CD0DCA"/>
    <w:rsid w:val="00CD7BFC"/>
    <w:rsid w:val="00CE136E"/>
    <w:rsid w:val="00D12F61"/>
    <w:rsid w:val="00D201C6"/>
    <w:rsid w:val="00D44F1A"/>
    <w:rsid w:val="00D638E0"/>
    <w:rsid w:val="00D716BA"/>
    <w:rsid w:val="00D8404D"/>
    <w:rsid w:val="00D87C12"/>
    <w:rsid w:val="00DC2952"/>
    <w:rsid w:val="00DF1AB7"/>
    <w:rsid w:val="00E07C02"/>
    <w:rsid w:val="00E12B06"/>
    <w:rsid w:val="00E15BF6"/>
    <w:rsid w:val="00E54005"/>
    <w:rsid w:val="00E71CB9"/>
    <w:rsid w:val="00E73698"/>
    <w:rsid w:val="00E77E23"/>
    <w:rsid w:val="00E8251C"/>
    <w:rsid w:val="00E844A0"/>
    <w:rsid w:val="00F13ED2"/>
    <w:rsid w:val="00F26DF6"/>
    <w:rsid w:val="00F27ACB"/>
    <w:rsid w:val="00F3616F"/>
    <w:rsid w:val="00F6618F"/>
    <w:rsid w:val="00F70DD5"/>
    <w:rsid w:val="00F73165"/>
    <w:rsid w:val="00F90BCE"/>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69C1AF-252C-45C0-876C-FEC09192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iPriority="99"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iPriority="99"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99"/>
    <w:semiHidden/>
    <w:unhideWhenUsed/>
    <w:rsid w:val="00E73698"/>
    <w:rPr>
      <w:sz w:val="20"/>
      <w:szCs w:val="20"/>
    </w:rPr>
  </w:style>
  <w:style w:type="character" w:customStyle="1" w:styleId="FootnoteTextChar">
    <w:name w:val="Footnote Text Char"/>
    <w:basedOn w:val="DefaultParagraphFont"/>
    <w:link w:val="FootnoteText"/>
    <w:uiPriority w:val="99"/>
    <w:semiHidden/>
    <w:rsid w:val="001E4A94"/>
  </w:style>
  <w:style w:type="character" w:styleId="FootnoteReference">
    <w:name w:val="footnote reference"/>
    <w:basedOn w:val="DefaultParagraphFont"/>
    <w:uiPriority w:val="99"/>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ListParagraph">
    <w:name w:val="List Paragraph"/>
    <w:basedOn w:val="Normal"/>
    <w:uiPriority w:val="34"/>
    <w:qFormat/>
    <w:rsid w:val="00D44F1A"/>
    <w:pPr>
      <w:spacing w:line="276" w:lineRule="auto"/>
      <w:ind w:left="720"/>
      <w:contextualSpacing/>
    </w:pPr>
    <w:rPr>
      <w:rFonts w:asciiTheme="minorHAnsi" w:eastAsiaTheme="minorHAnsi" w:hAnsiTheme="minorHAnsi" w:cstheme="minorBidi"/>
      <w:sz w:val="22"/>
      <w:szCs w:val="22"/>
      <w:lang w:val="en-US"/>
    </w:rPr>
  </w:style>
  <w:style w:type="paragraph" w:customStyle="1" w:styleId="Default">
    <w:name w:val="Default"/>
    <w:rsid w:val="00D44F1A"/>
    <w:pPr>
      <w:autoSpaceDE w:val="0"/>
      <w:autoSpaceDN w:val="0"/>
      <w:adjustRightInd w:val="0"/>
    </w:pPr>
    <w:rPr>
      <w:rFonts w:eastAsiaTheme="minorEastAsia" w:cs="Arial"/>
      <w:color w:val="000000"/>
      <w:sz w:val="24"/>
      <w:szCs w:val="24"/>
      <w:lang w:eastAsia="en-AU"/>
    </w:rPr>
  </w:style>
  <w:style w:type="paragraph" w:customStyle="1" w:styleId="AHPRAbodyContextparanumbered">
    <w:name w:val="AHPRA body 'Context' para numbered"/>
    <w:uiPriority w:val="1"/>
    <w:qFormat/>
    <w:rsid w:val="00D44F1A"/>
    <w:pPr>
      <w:numPr>
        <w:numId w:val="16"/>
      </w:numPr>
      <w:spacing w:after="200"/>
    </w:pPr>
    <w:rPr>
      <w:rFonts w:cs="Arial"/>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2189800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hpra.gov.au/Publications/Advertising-resources/Legislation-guidelines.aspx" TargetMode="External"/><Relationship Id="rId18" Type="http://schemas.openxmlformats.org/officeDocument/2006/relationships/hyperlink" Target="https://www.linkedin.com/company/australian-health-practitioner-regulation-agenc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twitter.com/AHPRA" TargetMode="External"/><Relationship Id="rId25" Type="http://schemas.openxmlformats.org/officeDocument/2006/relationships/image" Target="cid:image006.png@01D29360.6EACAF40" TargetMode="External"/><Relationship Id="rId2" Type="http://schemas.openxmlformats.org/officeDocument/2006/relationships/numbering" Target="numbering.xml"/><Relationship Id="rId16" Type="http://schemas.openxmlformats.org/officeDocument/2006/relationships/hyperlink" Target="https://www.facebook.com/ahpra.gov.au/" TargetMode="External"/><Relationship Id="rId20" Type="http://schemas.openxmlformats.org/officeDocument/2006/relationships/image" Target="cid:image002.png@01D29360.6EACAF4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hpra.gov.au" TargetMode="External"/><Relationship Id="rId23" Type="http://schemas.openxmlformats.org/officeDocument/2006/relationships/hyperlink" Target="https://www.linkedin.com/organization/648146/admin/updates" TargetMode="External"/><Relationship Id="rId28" Type="http://schemas.openxmlformats.org/officeDocument/2006/relationships/footer" Target="footer2.xml"/><Relationship Id="rId10" Type="http://schemas.openxmlformats.org/officeDocument/2006/relationships/hyperlink" Target="https://www.ahpra.gov.au/About-AHPRA/Regulatory-principles.aspx"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hpra.gov.au/Publications/Advertising-resources.aspx" TargetMode="External"/><Relationship Id="rId14" Type="http://schemas.openxmlformats.org/officeDocument/2006/relationships/hyperlink" Target="https://www.ahpra.gov.au/About-AHPRA/Contact-Us/Make-an-Enquiry.aspx" TargetMode="External"/><Relationship Id="rId22" Type="http://schemas.openxmlformats.org/officeDocument/2006/relationships/image" Target="cid:image004.png@01D29360.6EACAF40"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illon-smith\AppData\Local\Microsoft\Windows\Temporary%20Internet%20Files\Content.IE5\TY47GXKI\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9CC4-B141-460B-B960-20B5655A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0</TotalTime>
  <Pages>9</Pages>
  <Words>2815</Words>
  <Characters>16051</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Responsible advertising in healthcare: Keeping people safe</vt:lpstr>
    </vt:vector>
  </TitlesOfParts>
  <Company>Johanna Villani Design</Company>
  <LinksUpToDate>false</LinksUpToDate>
  <CharactersWithSpaces>18829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advertising in healthcare: Keeping people safe</dc:title>
  <dc:subject>Strategy</dc:subject>
  <dc:creator>AHPRA</dc:creator>
  <cp:lastModifiedBy>Brett Cremer</cp:lastModifiedBy>
  <cp:revision>2</cp:revision>
  <cp:lastPrinted>2012-02-10T00:45:00Z</cp:lastPrinted>
  <dcterms:created xsi:type="dcterms:W3CDTF">2019-06-18T00:51:00Z</dcterms:created>
  <dcterms:modified xsi:type="dcterms:W3CDTF">2019-06-18T00:51:00Z</dcterms:modified>
</cp:coreProperties>
</file>