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2F1" w:rsidRPr="007A5C14" w:rsidRDefault="000922F1" w:rsidP="000922F1">
      <w:pPr>
        <w:tabs>
          <w:tab w:val="left" w:pos="900"/>
        </w:tabs>
        <w:ind w:right="71"/>
        <w:rPr>
          <w:rFonts w:eastAsia="Arial Unicode MS"/>
          <w:color w:val="800080"/>
          <w:sz w:val="40"/>
          <w:szCs w:val="40"/>
        </w:rPr>
      </w:pPr>
      <w:r>
        <w:rPr>
          <w:noProof/>
          <w:color w:val="800080"/>
          <w:lang w:val="en-US"/>
        </w:rPr>
        <w:drawing>
          <wp:inline distT="0" distB="0" distL="0" distR="0">
            <wp:extent cx="733425" cy="600075"/>
            <wp:effectExtent l="0" t="0" r="9525" b="9525"/>
            <wp:docPr id="2" name="Picture 2" descr="Magenta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gentaLogo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3425" cy="600075"/>
                    </a:xfrm>
                    <a:prstGeom prst="rect">
                      <a:avLst/>
                    </a:prstGeom>
                    <a:noFill/>
                    <a:ln>
                      <a:noFill/>
                    </a:ln>
                  </pic:spPr>
                </pic:pic>
              </a:graphicData>
            </a:graphic>
          </wp:inline>
        </w:drawing>
      </w:r>
      <w:r>
        <w:rPr>
          <w:color w:val="800080"/>
        </w:rPr>
        <w:t xml:space="preserve">                 </w:t>
      </w:r>
      <w:bookmarkStart w:id="0" w:name="OLE_LINK1"/>
      <w:bookmarkStart w:id="1" w:name="OLE_LINK2"/>
      <w:r w:rsidRPr="00036DAA">
        <w:rPr>
          <w:rFonts w:eastAsia="Arial Unicode MS"/>
          <w:b/>
          <w:color w:val="800080"/>
          <w:sz w:val="40"/>
          <w:szCs w:val="40"/>
        </w:rPr>
        <w:t>Standing Council on Health</w:t>
      </w:r>
      <w:bookmarkEnd w:id="0"/>
      <w:bookmarkEnd w:id="1"/>
    </w:p>
    <w:p w:rsidR="000922F1" w:rsidRPr="00483FF6" w:rsidRDefault="000922F1" w:rsidP="000922F1">
      <w:pPr>
        <w:tabs>
          <w:tab w:val="left" w:pos="900"/>
        </w:tabs>
        <w:ind w:left="-1080" w:right="71"/>
        <w:jc w:val="right"/>
        <w:rPr>
          <w:color w:val="800080"/>
        </w:rPr>
      </w:pPr>
      <w:r w:rsidRPr="007A5C14">
        <w:rPr>
          <w:rFonts w:eastAsia="Arial Unicode MS"/>
          <w:color w:val="800080"/>
          <w:sz w:val="32"/>
          <w:szCs w:val="32"/>
        </w:rPr>
        <w:t>(</w:t>
      </w:r>
      <w:proofErr w:type="gramStart"/>
      <w:r w:rsidRPr="007A5C14">
        <w:rPr>
          <w:rFonts w:eastAsia="Arial Unicode MS"/>
          <w:color w:val="800080"/>
          <w:sz w:val="32"/>
          <w:szCs w:val="32"/>
        </w:rPr>
        <w:t>meeting</w:t>
      </w:r>
      <w:proofErr w:type="gramEnd"/>
      <w:r w:rsidRPr="007A5C14">
        <w:rPr>
          <w:rFonts w:eastAsia="Arial Unicode MS"/>
          <w:color w:val="800080"/>
          <w:sz w:val="32"/>
          <w:szCs w:val="32"/>
        </w:rPr>
        <w:t xml:space="preserve"> as the Australian Health Workforce Ministerial Council)</w:t>
      </w:r>
    </w:p>
    <w:p w:rsidR="00E06DBD" w:rsidRDefault="00E06DBD"/>
    <w:p w:rsidR="00E06DBD" w:rsidRDefault="00E06DBD" w:rsidP="00E06DBD">
      <w:pPr>
        <w:widowControl/>
        <w:tabs>
          <w:tab w:val="left" w:pos="2552"/>
          <w:tab w:val="left" w:pos="9027"/>
        </w:tabs>
        <w:jc w:val="center"/>
        <w:rPr>
          <w:b/>
          <w:sz w:val="22"/>
          <w:szCs w:val="22"/>
        </w:rPr>
      </w:pPr>
      <w:bookmarkStart w:id="2" w:name="OLE_LINK3"/>
      <w:bookmarkStart w:id="3" w:name="OLE_LINK4"/>
      <w:r>
        <w:rPr>
          <w:b/>
          <w:sz w:val="22"/>
          <w:szCs w:val="22"/>
        </w:rPr>
        <w:t>National Registration and Accreditation Scheme for the health professions</w:t>
      </w:r>
    </w:p>
    <w:p w:rsidR="00E06DBD" w:rsidRDefault="00E06DBD" w:rsidP="00E06DBD">
      <w:pPr>
        <w:widowControl/>
        <w:tabs>
          <w:tab w:val="left" w:pos="2552"/>
          <w:tab w:val="left" w:pos="9027"/>
        </w:tabs>
        <w:jc w:val="center"/>
        <w:rPr>
          <w:b/>
          <w:sz w:val="22"/>
          <w:szCs w:val="22"/>
        </w:rPr>
      </w:pPr>
      <w:bookmarkStart w:id="4" w:name="OLE_LINK5"/>
      <w:bookmarkStart w:id="5" w:name="OLE_LINK6"/>
      <w:bookmarkEnd w:id="2"/>
      <w:bookmarkEnd w:id="3"/>
      <w:r>
        <w:rPr>
          <w:b/>
          <w:sz w:val="22"/>
          <w:szCs w:val="22"/>
        </w:rPr>
        <w:t>Review Terms of Reference</w:t>
      </w:r>
    </w:p>
    <w:bookmarkEnd w:id="4"/>
    <w:bookmarkEnd w:id="5"/>
    <w:p w:rsidR="00E06DBD" w:rsidRDefault="00E06DBD" w:rsidP="00E06DBD">
      <w:pPr>
        <w:widowControl/>
        <w:tabs>
          <w:tab w:val="left" w:pos="2552"/>
          <w:tab w:val="left" w:pos="9027"/>
        </w:tabs>
        <w:jc w:val="both"/>
        <w:rPr>
          <w:b/>
          <w:sz w:val="22"/>
          <w:szCs w:val="22"/>
        </w:rPr>
      </w:pPr>
    </w:p>
    <w:p w:rsidR="00E06DBD" w:rsidRDefault="00E06DBD" w:rsidP="000922F1">
      <w:pPr>
        <w:widowControl/>
        <w:spacing w:after="120"/>
        <w:jc w:val="both"/>
        <w:rPr>
          <w:b/>
          <w:sz w:val="22"/>
          <w:szCs w:val="22"/>
        </w:rPr>
      </w:pPr>
      <w:r>
        <w:rPr>
          <w:b/>
          <w:sz w:val="22"/>
          <w:szCs w:val="22"/>
        </w:rPr>
        <w:t>Preamble:</w:t>
      </w:r>
    </w:p>
    <w:p w:rsidR="00E06DBD" w:rsidRDefault="00E06DBD" w:rsidP="000922F1">
      <w:pPr>
        <w:widowControl/>
        <w:spacing w:after="120"/>
        <w:jc w:val="both"/>
        <w:rPr>
          <w:sz w:val="22"/>
          <w:szCs w:val="22"/>
        </w:rPr>
      </w:pPr>
      <w:r>
        <w:rPr>
          <w:sz w:val="22"/>
          <w:szCs w:val="22"/>
        </w:rPr>
        <w:t xml:space="preserve">The National Registration and Accreditation Scheme for the health professions (the National Scheme) is established under the </w:t>
      </w:r>
      <w:r>
        <w:rPr>
          <w:i/>
          <w:sz w:val="22"/>
          <w:szCs w:val="22"/>
        </w:rPr>
        <w:t>Health Practitioner Regulation National Law Act</w:t>
      </w:r>
      <w:r>
        <w:rPr>
          <w:sz w:val="22"/>
          <w:szCs w:val="22"/>
        </w:rPr>
        <w:t xml:space="preserve"> (the National Law) as in force in each state and territory, and commenced operation on 1 July 2010, and 18 October 2010 in Western Australia. </w:t>
      </w:r>
    </w:p>
    <w:p w:rsidR="00E06DBD" w:rsidRDefault="00E06DBD" w:rsidP="000922F1">
      <w:pPr>
        <w:widowControl/>
        <w:spacing w:after="120"/>
        <w:jc w:val="both"/>
        <w:rPr>
          <w:sz w:val="22"/>
          <w:szCs w:val="22"/>
        </w:rPr>
      </w:pPr>
      <w:r>
        <w:rPr>
          <w:sz w:val="22"/>
          <w:szCs w:val="22"/>
        </w:rPr>
        <w:t xml:space="preserve">An Intergovernmental Agreement (IGA) signed by Council of Australian Governments (COAG) members in March 2008 underpins the National Scheme and identifies its objectives as: </w:t>
      </w:r>
    </w:p>
    <w:p w:rsidR="00E06DBD" w:rsidRDefault="00E06DBD" w:rsidP="000922F1">
      <w:pPr>
        <w:widowControl/>
        <w:numPr>
          <w:ilvl w:val="0"/>
          <w:numId w:val="1"/>
        </w:numPr>
        <w:spacing w:after="120"/>
        <w:ind w:left="540" w:hanging="540"/>
        <w:jc w:val="both"/>
        <w:rPr>
          <w:sz w:val="22"/>
          <w:szCs w:val="22"/>
        </w:rPr>
      </w:pPr>
      <w:r>
        <w:rPr>
          <w:sz w:val="22"/>
          <w:szCs w:val="22"/>
        </w:rPr>
        <w:t xml:space="preserve">protection of public safety; </w:t>
      </w:r>
    </w:p>
    <w:p w:rsidR="00E06DBD" w:rsidRDefault="00E06DBD" w:rsidP="000922F1">
      <w:pPr>
        <w:widowControl/>
        <w:numPr>
          <w:ilvl w:val="0"/>
          <w:numId w:val="1"/>
        </w:numPr>
        <w:spacing w:after="120"/>
        <w:ind w:left="540" w:hanging="540"/>
        <w:jc w:val="both"/>
        <w:rPr>
          <w:sz w:val="22"/>
          <w:szCs w:val="22"/>
        </w:rPr>
      </w:pPr>
      <w:r>
        <w:rPr>
          <w:sz w:val="22"/>
          <w:szCs w:val="22"/>
        </w:rPr>
        <w:t xml:space="preserve">facilitation of workforce mobility and high quality education and training; </w:t>
      </w:r>
    </w:p>
    <w:p w:rsidR="00E06DBD" w:rsidRDefault="00E06DBD" w:rsidP="000922F1">
      <w:pPr>
        <w:widowControl/>
        <w:numPr>
          <w:ilvl w:val="0"/>
          <w:numId w:val="1"/>
        </w:numPr>
        <w:spacing w:after="120"/>
        <w:ind w:left="540" w:hanging="540"/>
        <w:jc w:val="both"/>
        <w:rPr>
          <w:sz w:val="22"/>
          <w:szCs w:val="22"/>
        </w:rPr>
      </w:pPr>
      <w:r>
        <w:rPr>
          <w:sz w:val="22"/>
          <w:szCs w:val="22"/>
        </w:rPr>
        <w:t xml:space="preserve">promotion of access to health services; and </w:t>
      </w:r>
    </w:p>
    <w:p w:rsidR="00E06DBD" w:rsidRDefault="00E06DBD" w:rsidP="000922F1">
      <w:pPr>
        <w:widowControl/>
        <w:numPr>
          <w:ilvl w:val="0"/>
          <w:numId w:val="1"/>
        </w:numPr>
        <w:spacing w:after="120"/>
        <w:ind w:left="540" w:hanging="540"/>
        <w:jc w:val="both"/>
        <w:rPr>
          <w:sz w:val="22"/>
          <w:szCs w:val="22"/>
        </w:rPr>
      </w:pPr>
      <w:proofErr w:type="gramStart"/>
      <w:r>
        <w:rPr>
          <w:sz w:val="22"/>
          <w:szCs w:val="22"/>
        </w:rPr>
        <w:t>development</w:t>
      </w:r>
      <w:proofErr w:type="gramEnd"/>
      <w:r>
        <w:rPr>
          <w:sz w:val="22"/>
          <w:szCs w:val="22"/>
        </w:rPr>
        <w:t xml:space="preserve"> of a flexible responsive and sustainable workforce. </w:t>
      </w:r>
    </w:p>
    <w:p w:rsidR="00E06DBD" w:rsidRDefault="00E06DBD" w:rsidP="000922F1">
      <w:pPr>
        <w:widowControl/>
        <w:spacing w:after="120"/>
        <w:jc w:val="both"/>
        <w:rPr>
          <w:sz w:val="22"/>
          <w:szCs w:val="22"/>
        </w:rPr>
      </w:pPr>
      <w:r>
        <w:rPr>
          <w:sz w:val="22"/>
          <w:szCs w:val="22"/>
        </w:rPr>
        <w:t>The objectives and guiding principles of the National Scheme are set out in section 3 of the National Law.</w:t>
      </w:r>
    </w:p>
    <w:p w:rsidR="00E06DBD" w:rsidRDefault="00E06DBD" w:rsidP="000922F1">
      <w:pPr>
        <w:widowControl/>
        <w:spacing w:after="120"/>
        <w:jc w:val="both"/>
        <w:rPr>
          <w:sz w:val="22"/>
          <w:szCs w:val="22"/>
        </w:rPr>
      </w:pPr>
      <w:r>
        <w:rPr>
          <w:sz w:val="22"/>
          <w:szCs w:val="22"/>
        </w:rPr>
        <w:t xml:space="preserve">Clause 14.1 of the IGA states that for the purposes of the National Scheme, an independent review will be initiated by the Australian Health Workforce Ministerial Council (AHWMC) following three years of the National Scheme’s operation. </w:t>
      </w:r>
    </w:p>
    <w:p w:rsidR="00E06DBD" w:rsidRDefault="00E06DBD" w:rsidP="000922F1">
      <w:pPr>
        <w:widowControl/>
        <w:spacing w:after="120"/>
        <w:jc w:val="both"/>
        <w:rPr>
          <w:b/>
          <w:sz w:val="22"/>
          <w:szCs w:val="22"/>
        </w:rPr>
      </w:pPr>
    </w:p>
    <w:p w:rsidR="00E06DBD" w:rsidRDefault="00E06DBD" w:rsidP="000922F1">
      <w:pPr>
        <w:widowControl/>
        <w:tabs>
          <w:tab w:val="left" w:pos="540"/>
        </w:tabs>
        <w:spacing w:after="120"/>
        <w:ind w:left="540" w:hanging="540"/>
        <w:jc w:val="both"/>
        <w:rPr>
          <w:b/>
          <w:sz w:val="22"/>
          <w:szCs w:val="22"/>
        </w:rPr>
      </w:pPr>
      <w:r>
        <w:rPr>
          <w:b/>
          <w:sz w:val="22"/>
          <w:szCs w:val="22"/>
        </w:rPr>
        <w:t xml:space="preserve">1. </w:t>
      </w:r>
      <w:r>
        <w:rPr>
          <w:b/>
          <w:sz w:val="22"/>
          <w:szCs w:val="22"/>
        </w:rPr>
        <w:tab/>
        <w:t>Scope of the National Registration and Accreditation Scheme (NRAS) Review</w:t>
      </w:r>
    </w:p>
    <w:p w:rsidR="00E06DBD" w:rsidRDefault="00E06DBD" w:rsidP="000922F1">
      <w:pPr>
        <w:widowControl/>
        <w:spacing w:after="120"/>
        <w:jc w:val="both"/>
        <w:rPr>
          <w:sz w:val="22"/>
          <w:szCs w:val="22"/>
        </w:rPr>
      </w:pPr>
      <w:r>
        <w:rPr>
          <w:sz w:val="22"/>
          <w:szCs w:val="22"/>
        </w:rPr>
        <w:t>The scope of the NRAS Review is to be focussed on matters relevant to:</w:t>
      </w:r>
    </w:p>
    <w:p w:rsidR="00E06DBD" w:rsidRDefault="00E06DBD" w:rsidP="000922F1">
      <w:pPr>
        <w:widowControl/>
        <w:numPr>
          <w:ilvl w:val="0"/>
          <w:numId w:val="2"/>
        </w:numPr>
        <w:tabs>
          <w:tab w:val="num" w:pos="540"/>
        </w:tabs>
        <w:spacing w:after="120"/>
        <w:ind w:left="540" w:hanging="540"/>
        <w:jc w:val="both"/>
        <w:rPr>
          <w:sz w:val="22"/>
          <w:szCs w:val="22"/>
        </w:rPr>
      </w:pPr>
      <w:r>
        <w:rPr>
          <w:sz w:val="22"/>
          <w:szCs w:val="22"/>
        </w:rPr>
        <w:t xml:space="preserve">identifying the achievements of the National Scheme against its objectives and guiding principles; </w:t>
      </w:r>
    </w:p>
    <w:p w:rsidR="00E06DBD" w:rsidRDefault="00E06DBD" w:rsidP="000922F1">
      <w:pPr>
        <w:widowControl/>
        <w:numPr>
          <w:ilvl w:val="0"/>
          <w:numId w:val="2"/>
        </w:numPr>
        <w:tabs>
          <w:tab w:val="num" w:pos="540"/>
        </w:tabs>
        <w:spacing w:after="120"/>
        <w:ind w:left="540" w:hanging="540"/>
        <w:jc w:val="both"/>
        <w:rPr>
          <w:sz w:val="22"/>
          <w:szCs w:val="22"/>
        </w:rPr>
      </w:pPr>
      <w:r>
        <w:rPr>
          <w:sz w:val="22"/>
          <w:szCs w:val="22"/>
        </w:rPr>
        <w:t xml:space="preserve">the future sustainability of the National Scheme, any recommended changes and the specific matters articulated below; </w:t>
      </w:r>
    </w:p>
    <w:p w:rsidR="00E06DBD" w:rsidRDefault="00E06DBD" w:rsidP="000922F1">
      <w:pPr>
        <w:widowControl/>
        <w:numPr>
          <w:ilvl w:val="0"/>
          <w:numId w:val="2"/>
        </w:numPr>
        <w:tabs>
          <w:tab w:val="num" w:pos="540"/>
        </w:tabs>
        <w:spacing w:after="120"/>
        <w:ind w:left="540" w:hanging="540"/>
        <w:jc w:val="both"/>
        <w:rPr>
          <w:sz w:val="22"/>
          <w:szCs w:val="22"/>
        </w:rPr>
      </w:pPr>
      <w:r>
        <w:rPr>
          <w:sz w:val="22"/>
          <w:szCs w:val="22"/>
        </w:rPr>
        <w:t>the administration of the National Scheme;</w:t>
      </w:r>
      <w:bookmarkStart w:id="6" w:name="_GoBack"/>
      <w:bookmarkEnd w:id="6"/>
      <w:r>
        <w:rPr>
          <w:sz w:val="22"/>
          <w:szCs w:val="22"/>
        </w:rPr>
        <w:t xml:space="preserve"> </w:t>
      </w:r>
    </w:p>
    <w:p w:rsidR="00E06DBD" w:rsidRDefault="00E06DBD" w:rsidP="000922F1">
      <w:pPr>
        <w:widowControl/>
        <w:numPr>
          <w:ilvl w:val="0"/>
          <w:numId w:val="2"/>
        </w:numPr>
        <w:tabs>
          <w:tab w:val="num" w:pos="540"/>
        </w:tabs>
        <w:spacing w:after="120"/>
        <w:ind w:left="540" w:hanging="540"/>
        <w:jc w:val="both"/>
        <w:rPr>
          <w:sz w:val="22"/>
          <w:szCs w:val="22"/>
        </w:rPr>
      </w:pPr>
      <w:r>
        <w:rPr>
          <w:sz w:val="22"/>
          <w:szCs w:val="22"/>
        </w:rPr>
        <w:t>the interface between the National Scheme and jurisdictional practices; and</w:t>
      </w:r>
    </w:p>
    <w:p w:rsidR="00E06DBD" w:rsidRDefault="00E06DBD" w:rsidP="000922F1">
      <w:pPr>
        <w:widowControl/>
        <w:numPr>
          <w:ilvl w:val="0"/>
          <w:numId w:val="2"/>
        </w:numPr>
        <w:tabs>
          <w:tab w:val="num" w:pos="540"/>
        </w:tabs>
        <w:spacing w:after="120"/>
        <w:ind w:left="540" w:hanging="540"/>
        <w:jc w:val="both"/>
        <w:rPr>
          <w:sz w:val="22"/>
          <w:szCs w:val="22"/>
        </w:rPr>
      </w:pPr>
      <w:proofErr w:type="gramStart"/>
      <w:r>
        <w:rPr>
          <w:sz w:val="22"/>
          <w:szCs w:val="22"/>
        </w:rPr>
        <w:t>an</w:t>
      </w:r>
      <w:proofErr w:type="gramEnd"/>
      <w:r>
        <w:rPr>
          <w:sz w:val="22"/>
          <w:szCs w:val="22"/>
        </w:rPr>
        <w:t xml:space="preserve"> assessment of the extent to which the National Scheme meets is aims and objectives.</w:t>
      </w:r>
    </w:p>
    <w:p w:rsidR="00E06DBD" w:rsidRDefault="00E06DBD" w:rsidP="000922F1">
      <w:pPr>
        <w:widowControl/>
        <w:spacing w:after="120"/>
        <w:jc w:val="both"/>
        <w:rPr>
          <w:b/>
          <w:sz w:val="22"/>
          <w:szCs w:val="22"/>
        </w:rPr>
      </w:pPr>
    </w:p>
    <w:p w:rsidR="00E06DBD" w:rsidRDefault="00E06DBD" w:rsidP="000922F1">
      <w:pPr>
        <w:widowControl/>
        <w:tabs>
          <w:tab w:val="left" w:pos="540"/>
        </w:tabs>
        <w:spacing w:after="120"/>
        <w:jc w:val="both"/>
        <w:rPr>
          <w:b/>
          <w:sz w:val="22"/>
          <w:szCs w:val="22"/>
        </w:rPr>
      </w:pPr>
      <w:r>
        <w:rPr>
          <w:b/>
          <w:sz w:val="22"/>
          <w:szCs w:val="22"/>
        </w:rPr>
        <w:t xml:space="preserve">2. </w:t>
      </w:r>
      <w:r>
        <w:rPr>
          <w:b/>
          <w:sz w:val="22"/>
          <w:szCs w:val="22"/>
        </w:rPr>
        <w:tab/>
        <w:t>Objectives and Guiding Principles of the National Scheme</w:t>
      </w:r>
    </w:p>
    <w:p w:rsidR="00E06DBD" w:rsidRDefault="00E06DBD" w:rsidP="000922F1">
      <w:pPr>
        <w:widowControl/>
        <w:spacing w:after="120"/>
        <w:rPr>
          <w:sz w:val="22"/>
          <w:szCs w:val="22"/>
        </w:rPr>
      </w:pPr>
      <w:r>
        <w:rPr>
          <w:sz w:val="22"/>
          <w:szCs w:val="22"/>
        </w:rPr>
        <w:t xml:space="preserve">The NRAS Review will examine to the </w:t>
      </w:r>
      <w:r w:rsidR="000922F1">
        <w:rPr>
          <w:sz w:val="22"/>
          <w:szCs w:val="22"/>
        </w:rPr>
        <w:t>extent to</w:t>
      </w:r>
      <w:r>
        <w:rPr>
          <w:sz w:val="22"/>
          <w:szCs w:val="22"/>
        </w:rPr>
        <w:t xml:space="preserve"> which the implementation of the National Scheme and the regulation of the professions under the National Scheme is meeting the objectives and guiding principles as set out in the </w:t>
      </w:r>
      <w:r w:rsidR="000922F1">
        <w:rPr>
          <w:sz w:val="22"/>
          <w:szCs w:val="22"/>
        </w:rPr>
        <w:t>IGA and</w:t>
      </w:r>
      <w:r>
        <w:rPr>
          <w:sz w:val="22"/>
          <w:szCs w:val="22"/>
        </w:rPr>
        <w:t xml:space="preserve"> Section 3 of the National Law</w:t>
      </w:r>
      <w:r>
        <w:rPr>
          <w:i/>
          <w:sz w:val="22"/>
          <w:szCs w:val="22"/>
        </w:rPr>
        <w:t>.</w:t>
      </w:r>
    </w:p>
    <w:p w:rsidR="00E06DBD" w:rsidRDefault="00E06DBD" w:rsidP="000922F1">
      <w:pPr>
        <w:widowControl/>
        <w:numPr>
          <w:ilvl w:val="0"/>
          <w:numId w:val="3"/>
        </w:numPr>
        <w:tabs>
          <w:tab w:val="num" w:pos="540"/>
        </w:tabs>
        <w:autoSpaceDE w:val="0"/>
        <w:autoSpaceDN w:val="0"/>
        <w:spacing w:after="120"/>
        <w:ind w:left="540" w:hanging="540"/>
        <w:jc w:val="both"/>
        <w:rPr>
          <w:sz w:val="22"/>
          <w:szCs w:val="22"/>
        </w:rPr>
      </w:pPr>
      <w:r>
        <w:rPr>
          <w:sz w:val="22"/>
          <w:szCs w:val="22"/>
        </w:rPr>
        <w:t xml:space="preserve">The objectives of the National Scheme are – </w:t>
      </w:r>
    </w:p>
    <w:p w:rsidR="00E06DBD" w:rsidRDefault="00E06DBD" w:rsidP="000922F1">
      <w:pPr>
        <w:widowControl/>
        <w:numPr>
          <w:ilvl w:val="1"/>
          <w:numId w:val="3"/>
        </w:numPr>
        <w:tabs>
          <w:tab w:val="num" w:pos="1080"/>
        </w:tabs>
        <w:autoSpaceDE w:val="0"/>
        <w:autoSpaceDN w:val="0"/>
        <w:spacing w:after="120"/>
        <w:ind w:left="1080" w:hanging="540"/>
        <w:jc w:val="both"/>
        <w:rPr>
          <w:sz w:val="22"/>
          <w:szCs w:val="22"/>
        </w:rPr>
      </w:pPr>
      <w:r>
        <w:rPr>
          <w:sz w:val="22"/>
          <w:szCs w:val="22"/>
        </w:rPr>
        <w:lastRenderedPageBreak/>
        <w:t>to provide for the protection of the public by ensuring that only health practitioners who are suitably trained and qualified to practise in a competent and ethical manner are registered; and</w:t>
      </w:r>
    </w:p>
    <w:p w:rsidR="00E06DBD" w:rsidRDefault="00E06DBD" w:rsidP="000922F1">
      <w:pPr>
        <w:widowControl/>
        <w:numPr>
          <w:ilvl w:val="1"/>
          <w:numId w:val="3"/>
        </w:numPr>
        <w:tabs>
          <w:tab w:val="num" w:pos="1080"/>
        </w:tabs>
        <w:autoSpaceDE w:val="0"/>
        <w:autoSpaceDN w:val="0"/>
        <w:spacing w:after="120"/>
        <w:ind w:left="1080" w:hanging="540"/>
        <w:jc w:val="both"/>
        <w:rPr>
          <w:sz w:val="22"/>
          <w:szCs w:val="22"/>
        </w:rPr>
      </w:pPr>
      <w:r>
        <w:rPr>
          <w:sz w:val="22"/>
          <w:szCs w:val="22"/>
        </w:rPr>
        <w:t xml:space="preserve">to facilitate workforce mobility across Australia by reducing the administrative burden for health practitioners wishing to move between participating jurisdictions or to practise in more than one participating jurisdiction; and </w:t>
      </w:r>
    </w:p>
    <w:p w:rsidR="00E06DBD" w:rsidRDefault="00E06DBD" w:rsidP="000922F1">
      <w:pPr>
        <w:widowControl/>
        <w:numPr>
          <w:ilvl w:val="1"/>
          <w:numId w:val="3"/>
        </w:numPr>
        <w:tabs>
          <w:tab w:val="num" w:pos="1080"/>
        </w:tabs>
        <w:autoSpaceDE w:val="0"/>
        <w:autoSpaceDN w:val="0"/>
        <w:spacing w:after="120"/>
        <w:ind w:left="1080" w:hanging="540"/>
        <w:jc w:val="both"/>
        <w:rPr>
          <w:sz w:val="22"/>
          <w:szCs w:val="22"/>
        </w:rPr>
      </w:pPr>
      <w:r>
        <w:rPr>
          <w:sz w:val="22"/>
          <w:szCs w:val="22"/>
        </w:rPr>
        <w:t>to facilitate the provision of high quality education and training of health practitioners; and</w:t>
      </w:r>
    </w:p>
    <w:p w:rsidR="00E06DBD" w:rsidRDefault="00E06DBD" w:rsidP="000922F1">
      <w:pPr>
        <w:widowControl/>
        <w:numPr>
          <w:ilvl w:val="1"/>
          <w:numId w:val="3"/>
        </w:numPr>
        <w:tabs>
          <w:tab w:val="num" w:pos="1080"/>
        </w:tabs>
        <w:autoSpaceDE w:val="0"/>
        <w:autoSpaceDN w:val="0"/>
        <w:spacing w:after="120"/>
        <w:ind w:left="1080" w:hanging="540"/>
        <w:jc w:val="both"/>
        <w:rPr>
          <w:sz w:val="22"/>
          <w:szCs w:val="22"/>
        </w:rPr>
      </w:pPr>
      <w:r>
        <w:rPr>
          <w:sz w:val="22"/>
          <w:szCs w:val="22"/>
        </w:rPr>
        <w:t>to facilitate the rigorous and responsive assessment of overseas-trained health practitioners; and</w:t>
      </w:r>
    </w:p>
    <w:p w:rsidR="00E06DBD" w:rsidRDefault="00E06DBD" w:rsidP="000922F1">
      <w:pPr>
        <w:widowControl/>
        <w:numPr>
          <w:ilvl w:val="1"/>
          <w:numId w:val="3"/>
        </w:numPr>
        <w:tabs>
          <w:tab w:val="num" w:pos="1080"/>
        </w:tabs>
        <w:autoSpaceDE w:val="0"/>
        <w:autoSpaceDN w:val="0"/>
        <w:spacing w:after="120"/>
        <w:ind w:left="1080" w:hanging="540"/>
        <w:jc w:val="both"/>
        <w:rPr>
          <w:sz w:val="22"/>
          <w:szCs w:val="22"/>
        </w:rPr>
      </w:pPr>
      <w:r>
        <w:rPr>
          <w:sz w:val="22"/>
          <w:szCs w:val="22"/>
        </w:rPr>
        <w:t>to facilitate access to services provided by health practitioners in accordance with the public interest; and</w:t>
      </w:r>
    </w:p>
    <w:p w:rsidR="00E06DBD" w:rsidRDefault="00E06DBD" w:rsidP="000922F1">
      <w:pPr>
        <w:widowControl/>
        <w:numPr>
          <w:ilvl w:val="1"/>
          <w:numId w:val="3"/>
        </w:numPr>
        <w:tabs>
          <w:tab w:val="num" w:pos="1080"/>
        </w:tabs>
        <w:autoSpaceDE w:val="0"/>
        <w:autoSpaceDN w:val="0"/>
        <w:spacing w:after="120"/>
        <w:ind w:left="1080" w:hanging="540"/>
        <w:jc w:val="both"/>
        <w:rPr>
          <w:sz w:val="22"/>
          <w:szCs w:val="22"/>
        </w:rPr>
      </w:pPr>
      <w:proofErr w:type="gramStart"/>
      <w:r>
        <w:rPr>
          <w:sz w:val="22"/>
          <w:szCs w:val="22"/>
        </w:rPr>
        <w:t>to</w:t>
      </w:r>
      <w:proofErr w:type="gramEnd"/>
      <w:r>
        <w:rPr>
          <w:sz w:val="22"/>
          <w:szCs w:val="22"/>
        </w:rPr>
        <w:t xml:space="preserve"> enable the continuous development of a flexible, responsive and sustainable Australian health workforce and to enable innovation in the education of, and service delivery by, health practitioners.</w:t>
      </w:r>
    </w:p>
    <w:p w:rsidR="00E06DBD" w:rsidRDefault="00E06DBD" w:rsidP="000922F1">
      <w:pPr>
        <w:widowControl/>
        <w:autoSpaceDE w:val="0"/>
        <w:autoSpaceDN w:val="0"/>
        <w:spacing w:after="120"/>
        <w:ind w:left="540"/>
        <w:jc w:val="both"/>
        <w:rPr>
          <w:sz w:val="22"/>
          <w:szCs w:val="22"/>
        </w:rPr>
      </w:pPr>
    </w:p>
    <w:p w:rsidR="00E06DBD" w:rsidRDefault="00E06DBD" w:rsidP="000922F1">
      <w:pPr>
        <w:widowControl/>
        <w:numPr>
          <w:ilvl w:val="0"/>
          <w:numId w:val="3"/>
        </w:numPr>
        <w:tabs>
          <w:tab w:val="num" w:pos="540"/>
        </w:tabs>
        <w:autoSpaceDE w:val="0"/>
        <w:autoSpaceDN w:val="0"/>
        <w:spacing w:after="120"/>
        <w:ind w:left="540" w:hanging="540"/>
        <w:jc w:val="both"/>
        <w:rPr>
          <w:sz w:val="22"/>
          <w:szCs w:val="22"/>
        </w:rPr>
      </w:pPr>
      <w:r>
        <w:rPr>
          <w:sz w:val="22"/>
          <w:szCs w:val="22"/>
        </w:rPr>
        <w:t>The guiding principles of the National Scheme are as foll</w:t>
      </w:r>
      <w:r w:rsidR="000922F1">
        <w:rPr>
          <w:sz w:val="22"/>
          <w:szCs w:val="22"/>
        </w:rPr>
        <w:t>ows -</w:t>
      </w:r>
    </w:p>
    <w:p w:rsidR="00E06DBD" w:rsidRDefault="00E06DBD" w:rsidP="000922F1">
      <w:pPr>
        <w:widowControl/>
        <w:numPr>
          <w:ilvl w:val="1"/>
          <w:numId w:val="3"/>
        </w:numPr>
        <w:tabs>
          <w:tab w:val="num" w:pos="1080"/>
        </w:tabs>
        <w:autoSpaceDE w:val="0"/>
        <w:autoSpaceDN w:val="0"/>
        <w:spacing w:after="120"/>
        <w:ind w:left="1080" w:hanging="540"/>
        <w:jc w:val="both"/>
        <w:rPr>
          <w:sz w:val="22"/>
          <w:szCs w:val="22"/>
        </w:rPr>
      </w:pPr>
      <w:proofErr w:type="gramStart"/>
      <w:r>
        <w:rPr>
          <w:sz w:val="22"/>
          <w:szCs w:val="22"/>
        </w:rPr>
        <w:t>the</w:t>
      </w:r>
      <w:proofErr w:type="gramEnd"/>
      <w:r>
        <w:rPr>
          <w:sz w:val="22"/>
          <w:szCs w:val="22"/>
        </w:rPr>
        <w:t xml:space="preserve"> National Scheme is to operate in a transparent, accountable, ef</w:t>
      </w:r>
      <w:r w:rsidR="000922F1">
        <w:rPr>
          <w:sz w:val="22"/>
          <w:szCs w:val="22"/>
        </w:rPr>
        <w:t>ficient, effective and fair way.</w:t>
      </w:r>
    </w:p>
    <w:p w:rsidR="00E06DBD" w:rsidRDefault="00E06DBD" w:rsidP="000922F1">
      <w:pPr>
        <w:widowControl/>
        <w:numPr>
          <w:ilvl w:val="1"/>
          <w:numId w:val="3"/>
        </w:numPr>
        <w:tabs>
          <w:tab w:val="num" w:pos="1080"/>
        </w:tabs>
        <w:autoSpaceDE w:val="0"/>
        <w:autoSpaceDN w:val="0"/>
        <w:spacing w:after="120"/>
        <w:ind w:left="1080" w:hanging="540"/>
        <w:jc w:val="both"/>
        <w:rPr>
          <w:sz w:val="22"/>
          <w:szCs w:val="22"/>
        </w:rPr>
      </w:pPr>
      <w:proofErr w:type="gramStart"/>
      <w:r>
        <w:rPr>
          <w:sz w:val="22"/>
          <w:szCs w:val="22"/>
        </w:rPr>
        <w:t>fees</w:t>
      </w:r>
      <w:proofErr w:type="gramEnd"/>
      <w:r>
        <w:rPr>
          <w:sz w:val="22"/>
          <w:szCs w:val="22"/>
        </w:rPr>
        <w:t xml:space="preserve"> required to be paid under the National Scheme are to be reasonable having regard to the efficient and effective operation of the National Sch</w:t>
      </w:r>
      <w:r w:rsidR="000922F1">
        <w:rPr>
          <w:sz w:val="22"/>
          <w:szCs w:val="22"/>
        </w:rPr>
        <w:t>eme.</w:t>
      </w:r>
    </w:p>
    <w:p w:rsidR="00E06DBD" w:rsidRDefault="00E06DBD" w:rsidP="000922F1">
      <w:pPr>
        <w:widowControl/>
        <w:numPr>
          <w:ilvl w:val="1"/>
          <w:numId w:val="3"/>
        </w:numPr>
        <w:tabs>
          <w:tab w:val="num" w:pos="1080"/>
        </w:tabs>
        <w:autoSpaceDE w:val="0"/>
        <w:autoSpaceDN w:val="0"/>
        <w:spacing w:after="120"/>
        <w:ind w:left="1080" w:hanging="540"/>
        <w:jc w:val="both"/>
        <w:rPr>
          <w:sz w:val="22"/>
          <w:szCs w:val="22"/>
        </w:rPr>
      </w:pPr>
      <w:proofErr w:type="gramStart"/>
      <w:r>
        <w:rPr>
          <w:sz w:val="22"/>
          <w:szCs w:val="22"/>
        </w:rPr>
        <w:t>restrictions</w:t>
      </w:r>
      <w:proofErr w:type="gramEnd"/>
      <w:r>
        <w:rPr>
          <w:sz w:val="22"/>
          <w:szCs w:val="22"/>
        </w:rPr>
        <w:t xml:space="preserve"> on the practice of a health profession are to be imposed under the National Scheme only if it is necessary to ensure health services are provided safely and are of an appropriate quality.</w:t>
      </w:r>
    </w:p>
    <w:p w:rsidR="00E06DBD" w:rsidRDefault="00E06DBD" w:rsidP="000922F1">
      <w:pPr>
        <w:widowControl/>
        <w:spacing w:after="120"/>
        <w:rPr>
          <w:sz w:val="22"/>
          <w:szCs w:val="22"/>
        </w:rPr>
      </w:pPr>
    </w:p>
    <w:p w:rsidR="00E06DBD" w:rsidRDefault="00E06DBD" w:rsidP="000922F1">
      <w:pPr>
        <w:widowControl/>
        <w:spacing w:after="120"/>
        <w:rPr>
          <w:sz w:val="22"/>
          <w:szCs w:val="22"/>
        </w:rPr>
      </w:pPr>
      <w:r>
        <w:rPr>
          <w:sz w:val="22"/>
          <w:szCs w:val="22"/>
        </w:rPr>
        <w:t>Without limiting the generality of the above, the NRAS Review should particularly comment on the benefits and costs that have been realised by the introduction of the National Scheme.</w:t>
      </w:r>
    </w:p>
    <w:p w:rsidR="00E06DBD" w:rsidRDefault="00E06DBD" w:rsidP="000922F1">
      <w:pPr>
        <w:widowControl/>
        <w:spacing w:after="120"/>
        <w:rPr>
          <w:sz w:val="22"/>
          <w:szCs w:val="22"/>
        </w:rPr>
      </w:pPr>
    </w:p>
    <w:p w:rsidR="00E06DBD" w:rsidRDefault="00E06DBD" w:rsidP="000922F1">
      <w:pPr>
        <w:widowControl/>
        <w:spacing w:after="120"/>
        <w:rPr>
          <w:b/>
          <w:sz w:val="22"/>
          <w:szCs w:val="22"/>
        </w:rPr>
      </w:pPr>
      <w:r>
        <w:rPr>
          <w:b/>
          <w:sz w:val="22"/>
          <w:szCs w:val="22"/>
        </w:rPr>
        <w:t>3. Operational Performance of the National Scheme</w:t>
      </w:r>
    </w:p>
    <w:p w:rsidR="00E06DBD" w:rsidRDefault="00E06DBD" w:rsidP="000922F1">
      <w:pPr>
        <w:widowControl/>
        <w:spacing w:after="120"/>
        <w:rPr>
          <w:sz w:val="22"/>
          <w:szCs w:val="22"/>
        </w:rPr>
      </w:pPr>
      <w:r>
        <w:rPr>
          <w:sz w:val="22"/>
          <w:szCs w:val="22"/>
        </w:rPr>
        <w:t>Without limiting the generality of the above, the NRAS Review should particularly comment on:</w:t>
      </w:r>
    </w:p>
    <w:p w:rsidR="00E06DBD" w:rsidRDefault="00E06DBD" w:rsidP="000922F1">
      <w:pPr>
        <w:widowControl/>
        <w:numPr>
          <w:ilvl w:val="0"/>
          <w:numId w:val="4"/>
        </w:numPr>
        <w:spacing w:after="120"/>
        <w:ind w:left="540" w:hanging="540"/>
        <w:rPr>
          <w:sz w:val="22"/>
          <w:szCs w:val="22"/>
        </w:rPr>
      </w:pPr>
      <w:r>
        <w:rPr>
          <w:sz w:val="22"/>
          <w:szCs w:val="22"/>
        </w:rPr>
        <w:t>Effectiveness of the National Scheme, including comparison with other similar international regulation authorities</w:t>
      </w:r>
      <w:r w:rsidR="000922F1">
        <w:rPr>
          <w:sz w:val="22"/>
          <w:szCs w:val="22"/>
        </w:rPr>
        <w:t>.</w:t>
      </w:r>
    </w:p>
    <w:p w:rsidR="00E06DBD" w:rsidRDefault="00E06DBD" w:rsidP="000922F1">
      <w:pPr>
        <w:widowControl/>
        <w:numPr>
          <w:ilvl w:val="0"/>
          <w:numId w:val="4"/>
        </w:numPr>
        <w:spacing w:after="120"/>
        <w:ind w:left="540" w:hanging="540"/>
        <w:rPr>
          <w:sz w:val="22"/>
          <w:szCs w:val="22"/>
        </w:rPr>
      </w:pPr>
      <w:r>
        <w:rPr>
          <w:sz w:val="22"/>
          <w:szCs w:val="22"/>
        </w:rPr>
        <w:t>Whether there are sufficient incentives built into the National Scheme to encourage continuous improvement and adoption of leaner and more efficient regulatory arrangements</w:t>
      </w:r>
      <w:r w:rsidR="000922F1">
        <w:rPr>
          <w:sz w:val="22"/>
          <w:szCs w:val="22"/>
        </w:rPr>
        <w:t>.</w:t>
      </w:r>
    </w:p>
    <w:p w:rsidR="00E06DBD" w:rsidRDefault="00E06DBD" w:rsidP="000922F1">
      <w:pPr>
        <w:widowControl/>
        <w:numPr>
          <w:ilvl w:val="0"/>
          <w:numId w:val="4"/>
        </w:numPr>
        <w:spacing w:after="120"/>
        <w:ind w:left="540" w:hanging="540"/>
        <w:rPr>
          <w:sz w:val="22"/>
          <w:szCs w:val="22"/>
        </w:rPr>
      </w:pPr>
      <w:r>
        <w:rPr>
          <w:sz w:val="22"/>
          <w:szCs w:val="22"/>
        </w:rPr>
        <w:t>Cost effectiveness of the National Scheme (including structure and functions), including where efficiencies might be gained and the impact of the model on the small professions</w:t>
      </w:r>
      <w:r w:rsidR="000922F1">
        <w:rPr>
          <w:sz w:val="22"/>
          <w:szCs w:val="22"/>
        </w:rPr>
        <w:t>.</w:t>
      </w:r>
    </w:p>
    <w:p w:rsidR="00E06DBD" w:rsidRDefault="00E06DBD" w:rsidP="000922F1">
      <w:pPr>
        <w:widowControl/>
        <w:numPr>
          <w:ilvl w:val="0"/>
          <w:numId w:val="4"/>
        </w:numPr>
        <w:spacing w:after="120"/>
        <w:ind w:left="540" w:hanging="540"/>
        <w:rPr>
          <w:sz w:val="22"/>
          <w:szCs w:val="22"/>
        </w:rPr>
      </w:pPr>
      <w:r>
        <w:rPr>
          <w:sz w:val="22"/>
          <w:szCs w:val="22"/>
        </w:rPr>
        <w:t>Whether the current regulatory arrangements for the National Scheme deliver sufficiently efficient, effective, consistent and proportionate regulations in light of the National Scheme’s objectives and guiding principles.</w:t>
      </w:r>
    </w:p>
    <w:p w:rsidR="00E06DBD" w:rsidRDefault="00E06DBD" w:rsidP="000922F1">
      <w:pPr>
        <w:widowControl/>
        <w:numPr>
          <w:ilvl w:val="0"/>
          <w:numId w:val="4"/>
        </w:numPr>
        <w:spacing w:after="120"/>
        <w:ind w:left="540" w:hanging="540"/>
        <w:rPr>
          <w:sz w:val="22"/>
          <w:szCs w:val="22"/>
        </w:rPr>
      </w:pPr>
      <w:r>
        <w:rPr>
          <w:sz w:val="22"/>
          <w:szCs w:val="22"/>
        </w:rPr>
        <w:t>The adequacy and transparency of the accreditation functions under the National Scheme.</w:t>
      </w:r>
    </w:p>
    <w:p w:rsidR="00E06DBD" w:rsidRDefault="00E06DBD" w:rsidP="000922F1">
      <w:pPr>
        <w:widowControl/>
        <w:spacing w:after="120"/>
        <w:rPr>
          <w:sz w:val="22"/>
          <w:szCs w:val="22"/>
        </w:rPr>
      </w:pPr>
    </w:p>
    <w:p w:rsidR="00E06DBD" w:rsidRDefault="00E06DBD" w:rsidP="000922F1">
      <w:pPr>
        <w:widowControl/>
        <w:numPr>
          <w:ilvl w:val="0"/>
          <w:numId w:val="5"/>
        </w:numPr>
        <w:spacing w:after="120"/>
        <w:ind w:left="426" w:hanging="426"/>
        <w:rPr>
          <w:b/>
          <w:sz w:val="22"/>
          <w:szCs w:val="22"/>
        </w:rPr>
      </w:pPr>
      <w:r>
        <w:rPr>
          <w:b/>
          <w:sz w:val="22"/>
          <w:szCs w:val="22"/>
        </w:rPr>
        <w:t>National Law</w:t>
      </w:r>
    </w:p>
    <w:p w:rsidR="00E06DBD" w:rsidRDefault="00E06DBD" w:rsidP="000922F1">
      <w:pPr>
        <w:widowControl/>
        <w:spacing w:after="120"/>
        <w:rPr>
          <w:sz w:val="22"/>
          <w:szCs w:val="22"/>
        </w:rPr>
      </w:pPr>
      <w:r>
        <w:rPr>
          <w:sz w:val="22"/>
          <w:szCs w:val="22"/>
        </w:rPr>
        <w:t>In relation to the National Law examine the:</w:t>
      </w:r>
    </w:p>
    <w:p w:rsidR="00E06DBD" w:rsidRDefault="00E06DBD" w:rsidP="000922F1">
      <w:pPr>
        <w:widowControl/>
        <w:numPr>
          <w:ilvl w:val="0"/>
          <w:numId w:val="6"/>
        </w:numPr>
        <w:spacing w:after="120"/>
        <w:ind w:left="540" w:hanging="540"/>
        <w:rPr>
          <w:sz w:val="22"/>
          <w:szCs w:val="22"/>
        </w:rPr>
      </w:pPr>
      <w:r>
        <w:rPr>
          <w:sz w:val="22"/>
          <w:szCs w:val="22"/>
        </w:rPr>
        <w:lastRenderedPageBreak/>
        <w:t>Impact of mandatory notification provisions</w:t>
      </w:r>
      <w:r w:rsidR="000922F1">
        <w:rPr>
          <w:sz w:val="22"/>
          <w:szCs w:val="22"/>
        </w:rPr>
        <w:t>.</w:t>
      </w:r>
    </w:p>
    <w:p w:rsidR="00E06DBD" w:rsidRDefault="00E06DBD" w:rsidP="000922F1">
      <w:pPr>
        <w:widowControl/>
        <w:numPr>
          <w:ilvl w:val="0"/>
          <w:numId w:val="6"/>
        </w:numPr>
        <w:spacing w:after="120"/>
        <w:ind w:left="540" w:hanging="540"/>
        <w:rPr>
          <w:sz w:val="22"/>
          <w:szCs w:val="22"/>
        </w:rPr>
      </w:pPr>
      <w:r>
        <w:rPr>
          <w:sz w:val="22"/>
          <w:szCs w:val="22"/>
        </w:rPr>
        <w:t>Role of the Australian Health Workforce Advisory Council (AHWAC)</w:t>
      </w:r>
      <w:r w:rsidR="000922F1">
        <w:rPr>
          <w:sz w:val="22"/>
          <w:szCs w:val="22"/>
        </w:rPr>
        <w:t>.</w:t>
      </w:r>
    </w:p>
    <w:p w:rsidR="00E06DBD" w:rsidRDefault="00E06DBD" w:rsidP="000922F1">
      <w:pPr>
        <w:widowControl/>
        <w:numPr>
          <w:ilvl w:val="0"/>
          <w:numId w:val="6"/>
        </w:numPr>
        <w:spacing w:after="120"/>
        <w:ind w:left="540" w:hanging="540"/>
        <w:rPr>
          <w:sz w:val="22"/>
          <w:szCs w:val="22"/>
        </w:rPr>
      </w:pPr>
      <w:r>
        <w:rPr>
          <w:sz w:val="22"/>
          <w:szCs w:val="22"/>
        </w:rPr>
        <w:t>Mechanisms for new professions to enter the scheme</w:t>
      </w:r>
      <w:r w:rsidR="000922F1">
        <w:rPr>
          <w:sz w:val="22"/>
          <w:szCs w:val="22"/>
        </w:rPr>
        <w:t>.</w:t>
      </w:r>
    </w:p>
    <w:p w:rsidR="00E06DBD" w:rsidRDefault="00E06DBD" w:rsidP="000922F1">
      <w:pPr>
        <w:widowControl/>
        <w:numPr>
          <w:ilvl w:val="0"/>
          <w:numId w:val="6"/>
        </w:numPr>
        <w:spacing w:after="120"/>
        <w:ind w:left="540" w:hanging="540"/>
        <w:rPr>
          <w:sz w:val="22"/>
          <w:szCs w:val="22"/>
        </w:rPr>
      </w:pPr>
      <w:r>
        <w:rPr>
          <w:sz w:val="22"/>
          <w:szCs w:val="22"/>
        </w:rPr>
        <w:t>Key linkages to other national/jurisdictional laws (e.g. Drugs and Poisons, health complaints and tribunal legislation)</w:t>
      </w:r>
      <w:r w:rsidR="000922F1">
        <w:rPr>
          <w:sz w:val="22"/>
          <w:szCs w:val="22"/>
        </w:rPr>
        <w:t>.</w:t>
      </w:r>
    </w:p>
    <w:p w:rsidR="00E06DBD" w:rsidRDefault="00E06DBD" w:rsidP="000922F1">
      <w:pPr>
        <w:widowControl/>
        <w:numPr>
          <w:ilvl w:val="0"/>
          <w:numId w:val="6"/>
        </w:numPr>
        <w:spacing w:after="120"/>
        <w:ind w:left="540" w:hanging="540"/>
        <w:rPr>
          <w:sz w:val="22"/>
          <w:szCs w:val="22"/>
        </w:rPr>
      </w:pPr>
      <w:r>
        <w:rPr>
          <w:sz w:val="22"/>
          <w:szCs w:val="22"/>
        </w:rPr>
        <w:t>Requirements for amendment to the National Law to improve the effectiveness, efficiency and accountability of the National Scheme</w:t>
      </w:r>
    </w:p>
    <w:p w:rsidR="00E06DBD" w:rsidRDefault="00E06DBD" w:rsidP="000922F1">
      <w:pPr>
        <w:widowControl/>
        <w:numPr>
          <w:ilvl w:val="0"/>
          <w:numId w:val="6"/>
        </w:numPr>
        <w:spacing w:after="120"/>
        <w:ind w:left="540" w:hanging="540"/>
        <w:rPr>
          <w:sz w:val="22"/>
          <w:szCs w:val="22"/>
        </w:rPr>
      </w:pPr>
      <w:r>
        <w:rPr>
          <w:sz w:val="22"/>
          <w:szCs w:val="22"/>
        </w:rPr>
        <w:t>Regulation and cost effectiveness of small professions.</w:t>
      </w:r>
    </w:p>
    <w:p w:rsidR="00E06DBD" w:rsidRDefault="00E06DBD" w:rsidP="000922F1">
      <w:pPr>
        <w:widowControl/>
        <w:spacing w:after="120"/>
        <w:rPr>
          <w:sz w:val="22"/>
          <w:szCs w:val="22"/>
        </w:rPr>
      </w:pPr>
    </w:p>
    <w:p w:rsidR="00E06DBD" w:rsidRDefault="00E06DBD" w:rsidP="000922F1">
      <w:pPr>
        <w:widowControl/>
        <w:numPr>
          <w:ilvl w:val="0"/>
          <w:numId w:val="5"/>
        </w:numPr>
        <w:spacing w:after="120"/>
        <w:ind w:left="426" w:hanging="426"/>
        <w:rPr>
          <w:b/>
          <w:sz w:val="22"/>
          <w:szCs w:val="22"/>
        </w:rPr>
      </w:pPr>
      <w:r>
        <w:rPr>
          <w:b/>
          <w:sz w:val="22"/>
          <w:szCs w:val="22"/>
        </w:rPr>
        <w:t>Governance Effectiveness</w:t>
      </w:r>
    </w:p>
    <w:p w:rsidR="00E06DBD" w:rsidRDefault="00E06DBD" w:rsidP="000922F1">
      <w:pPr>
        <w:widowControl/>
        <w:numPr>
          <w:ilvl w:val="0"/>
          <w:numId w:val="7"/>
        </w:numPr>
        <w:spacing w:after="120"/>
        <w:ind w:left="540" w:hanging="540"/>
        <w:jc w:val="both"/>
        <w:rPr>
          <w:sz w:val="22"/>
          <w:szCs w:val="22"/>
        </w:rPr>
      </w:pPr>
      <w:r>
        <w:rPr>
          <w:sz w:val="22"/>
          <w:szCs w:val="22"/>
        </w:rPr>
        <w:t xml:space="preserve">Examine the governance of the National Scheme, including the roles of: </w:t>
      </w:r>
    </w:p>
    <w:p w:rsidR="00E06DBD" w:rsidRDefault="00E06DBD" w:rsidP="000922F1">
      <w:pPr>
        <w:widowControl/>
        <w:numPr>
          <w:ilvl w:val="0"/>
          <w:numId w:val="8"/>
        </w:numPr>
        <w:tabs>
          <w:tab w:val="num" w:pos="1080"/>
        </w:tabs>
        <w:spacing w:after="120"/>
        <w:ind w:left="1080" w:hanging="540"/>
        <w:jc w:val="both"/>
        <w:rPr>
          <w:sz w:val="22"/>
          <w:szCs w:val="22"/>
        </w:rPr>
      </w:pPr>
      <w:r>
        <w:rPr>
          <w:sz w:val="22"/>
          <w:szCs w:val="22"/>
        </w:rPr>
        <w:t xml:space="preserve">Australian Health Practitioner Regulation Authority (AHPRA) </w:t>
      </w:r>
    </w:p>
    <w:p w:rsidR="00E06DBD" w:rsidRDefault="00E06DBD" w:rsidP="000922F1">
      <w:pPr>
        <w:widowControl/>
        <w:numPr>
          <w:ilvl w:val="0"/>
          <w:numId w:val="8"/>
        </w:numPr>
        <w:tabs>
          <w:tab w:val="num" w:pos="1080"/>
        </w:tabs>
        <w:spacing w:after="120"/>
        <w:ind w:left="1080" w:hanging="540"/>
        <w:jc w:val="both"/>
        <w:rPr>
          <w:sz w:val="22"/>
          <w:szCs w:val="22"/>
        </w:rPr>
      </w:pPr>
      <w:r>
        <w:rPr>
          <w:sz w:val="22"/>
          <w:szCs w:val="22"/>
        </w:rPr>
        <w:t>National Boards</w:t>
      </w:r>
    </w:p>
    <w:p w:rsidR="00E06DBD" w:rsidRDefault="00E06DBD" w:rsidP="000922F1">
      <w:pPr>
        <w:widowControl/>
        <w:numPr>
          <w:ilvl w:val="0"/>
          <w:numId w:val="8"/>
        </w:numPr>
        <w:tabs>
          <w:tab w:val="num" w:pos="1080"/>
        </w:tabs>
        <w:spacing w:after="120"/>
        <w:ind w:left="1080" w:hanging="540"/>
        <w:jc w:val="both"/>
        <w:rPr>
          <w:sz w:val="22"/>
          <w:szCs w:val="22"/>
        </w:rPr>
      </w:pPr>
      <w:r>
        <w:rPr>
          <w:sz w:val="22"/>
          <w:szCs w:val="22"/>
        </w:rPr>
        <w:t>Accreditation Authorities</w:t>
      </w:r>
    </w:p>
    <w:p w:rsidR="00E06DBD" w:rsidRDefault="00E06DBD" w:rsidP="000922F1">
      <w:pPr>
        <w:widowControl/>
        <w:numPr>
          <w:ilvl w:val="0"/>
          <w:numId w:val="8"/>
        </w:numPr>
        <w:tabs>
          <w:tab w:val="num" w:pos="1080"/>
        </w:tabs>
        <w:spacing w:after="120"/>
        <w:ind w:left="1080" w:hanging="540"/>
        <w:jc w:val="both"/>
        <w:rPr>
          <w:sz w:val="22"/>
          <w:szCs w:val="22"/>
        </w:rPr>
      </w:pPr>
      <w:r>
        <w:rPr>
          <w:sz w:val="22"/>
          <w:szCs w:val="22"/>
        </w:rPr>
        <w:t>AHWAC</w:t>
      </w:r>
    </w:p>
    <w:p w:rsidR="00E06DBD" w:rsidRDefault="00E06DBD" w:rsidP="000922F1">
      <w:pPr>
        <w:widowControl/>
        <w:numPr>
          <w:ilvl w:val="0"/>
          <w:numId w:val="8"/>
        </w:numPr>
        <w:tabs>
          <w:tab w:val="num" w:pos="1080"/>
        </w:tabs>
        <w:spacing w:after="120"/>
        <w:ind w:left="766" w:hanging="227"/>
        <w:jc w:val="both"/>
        <w:rPr>
          <w:sz w:val="22"/>
          <w:szCs w:val="22"/>
        </w:rPr>
      </w:pPr>
      <w:r>
        <w:rPr>
          <w:sz w:val="22"/>
          <w:szCs w:val="22"/>
        </w:rPr>
        <w:t>Standing Council on Health (SCoH) / Australian Health Workforce Ministerial Council (AHWMC)</w:t>
      </w:r>
    </w:p>
    <w:p w:rsidR="00E06DBD" w:rsidRDefault="00E06DBD" w:rsidP="000922F1">
      <w:pPr>
        <w:widowControl/>
        <w:numPr>
          <w:ilvl w:val="0"/>
          <w:numId w:val="8"/>
        </w:numPr>
        <w:tabs>
          <w:tab w:val="num" w:pos="1080"/>
        </w:tabs>
        <w:spacing w:after="120"/>
        <w:ind w:left="1080" w:hanging="540"/>
        <w:jc w:val="both"/>
        <w:rPr>
          <w:sz w:val="22"/>
          <w:szCs w:val="22"/>
        </w:rPr>
      </w:pPr>
      <w:r>
        <w:rPr>
          <w:sz w:val="22"/>
          <w:szCs w:val="22"/>
        </w:rPr>
        <w:t>State/Territory and Regional Boards</w:t>
      </w:r>
    </w:p>
    <w:p w:rsidR="00E06DBD" w:rsidRDefault="00E06DBD" w:rsidP="000922F1">
      <w:pPr>
        <w:widowControl/>
        <w:numPr>
          <w:ilvl w:val="0"/>
          <w:numId w:val="8"/>
        </w:numPr>
        <w:tabs>
          <w:tab w:val="num" w:pos="1080"/>
        </w:tabs>
        <w:spacing w:after="120"/>
        <w:ind w:left="1080" w:hanging="540"/>
        <w:jc w:val="both"/>
        <w:rPr>
          <w:sz w:val="22"/>
          <w:szCs w:val="22"/>
        </w:rPr>
      </w:pPr>
      <w:r>
        <w:rPr>
          <w:sz w:val="22"/>
          <w:szCs w:val="22"/>
        </w:rPr>
        <w:t>Ombudsman/Privacy Commissioner</w:t>
      </w:r>
    </w:p>
    <w:p w:rsidR="00E06DBD" w:rsidRDefault="00E06DBD" w:rsidP="000922F1">
      <w:pPr>
        <w:widowControl/>
        <w:numPr>
          <w:ilvl w:val="0"/>
          <w:numId w:val="8"/>
        </w:numPr>
        <w:tabs>
          <w:tab w:val="num" w:pos="1080"/>
        </w:tabs>
        <w:spacing w:after="120"/>
        <w:ind w:left="1080" w:hanging="540"/>
        <w:jc w:val="both"/>
        <w:rPr>
          <w:sz w:val="22"/>
          <w:szCs w:val="22"/>
        </w:rPr>
      </w:pPr>
      <w:r>
        <w:rPr>
          <w:sz w:val="22"/>
          <w:szCs w:val="22"/>
        </w:rPr>
        <w:t>Tribunals</w:t>
      </w:r>
    </w:p>
    <w:p w:rsidR="00E06DBD" w:rsidRDefault="00E06DBD" w:rsidP="000922F1">
      <w:pPr>
        <w:widowControl/>
        <w:numPr>
          <w:ilvl w:val="0"/>
          <w:numId w:val="8"/>
        </w:numPr>
        <w:tabs>
          <w:tab w:val="num" w:pos="1080"/>
        </w:tabs>
        <w:spacing w:after="120"/>
        <w:ind w:left="1080" w:hanging="540"/>
        <w:jc w:val="both"/>
        <w:rPr>
          <w:sz w:val="22"/>
          <w:szCs w:val="22"/>
        </w:rPr>
      </w:pPr>
      <w:r>
        <w:rPr>
          <w:sz w:val="22"/>
          <w:szCs w:val="22"/>
        </w:rPr>
        <w:t>State and Territory health complaints entities</w:t>
      </w:r>
    </w:p>
    <w:p w:rsidR="00E06DBD" w:rsidRDefault="00E06DBD" w:rsidP="000922F1">
      <w:pPr>
        <w:widowControl/>
        <w:numPr>
          <w:ilvl w:val="0"/>
          <w:numId w:val="9"/>
        </w:numPr>
        <w:spacing w:after="120"/>
        <w:jc w:val="both"/>
        <w:rPr>
          <w:sz w:val="22"/>
          <w:szCs w:val="22"/>
        </w:rPr>
      </w:pPr>
      <w:r>
        <w:rPr>
          <w:sz w:val="22"/>
          <w:szCs w:val="22"/>
        </w:rPr>
        <w:t xml:space="preserve">Review the functions of these entities and the interrelationship with AHPRA and the National and State Boards. </w:t>
      </w:r>
    </w:p>
    <w:p w:rsidR="00E06DBD" w:rsidRDefault="00E06DBD" w:rsidP="000922F1">
      <w:pPr>
        <w:widowControl/>
        <w:numPr>
          <w:ilvl w:val="0"/>
          <w:numId w:val="9"/>
        </w:numPr>
        <w:tabs>
          <w:tab w:val="left" w:pos="567"/>
        </w:tabs>
        <w:spacing w:after="120"/>
        <w:ind w:left="540" w:hanging="540"/>
        <w:jc w:val="both"/>
        <w:rPr>
          <w:sz w:val="22"/>
          <w:szCs w:val="22"/>
        </w:rPr>
      </w:pPr>
      <w:r>
        <w:rPr>
          <w:sz w:val="22"/>
          <w:szCs w:val="22"/>
        </w:rPr>
        <w:t xml:space="preserve">Consider the administration of the scheme and the interface between NRAS and jurisdictional practices. </w:t>
      </w:r>
    </w:p>
    <w:p w:rsidR="00E06DBD" w:rsidRDefault="00E06DBD" w:rsidP="000922F1">
      <w:pPr>
        <w:widowControl/>
        <w:numPr>
          <w:ilvl w:val="0"/>
          <w:numId w:val="9"/>
        </w:numPr>
        <w:tabs>
          <w:tab w:val="left" w:pos="567"/>
        </w:tabs>
        <w:spacing w:after="120"/>
        <w:ind w:left="540" w:hanging="540"/>
        <w:jc w:val="both"/>
        <w:rPr>
          <w:sz w:val="22"/>
          <w:szCs w:val="22"/>
        </w:rPr>
      </w:pPr>
      <w:r>
        <w:rPr>
          <w:sz w:val="22"/>
          <w:szCs w:val="22"/>
        </w:rPr>
        <w:t>Consider the opportunities that AHPRA and the National Boards have to work effectively in partnership with other parties that influence workforce, including but not limited to state, territory and Commonwealth health departments, Health Workforce Australia, education providers.</w:t>
      </w:r>
    </w:p>
    <w:p w:rsidR="00E06DBD" w:rsidRDefault="00E06DBD" w:rsidP="000922F1">
      <w:pPr>
        <w:widowControl/>
        <w:numPr>
          <w:ilvl w:val="0"/>
          <w:numId w:val="9"/>
        </w:numPr>
        <w:spacing w:after="120"/>
        <w:ind w:left="540" w:hanging="540"/>
        <w:jc w:val="both"/>
        <w:rPr>
          <w:sz w:val="22"/>
          <w:szCs w:val="22"/>
        </w:rPr>
      </w:pPr>
      <w:r>
        <w:rPr>
          <w:sz w:val="22"/>
          <w:szCs w:val="22"/>
        </w:rPr>
        <w:t>Make any recommendations to improve the efficiency, effectiveness and accountability of the National Scheme, for example, advertising provisions, whether to extend the practice protections to include cosmetic medicine and surgery, recognising the complexity of defining the scope and who could perform this scope of practice.</w:t>
      </w:r>
    </w:p>
    <w:p w:rsidR="00E06DBD" w:rsidRDefault="00E06DBD" w:rsidP="000922F1">
      <w:pPr>
        <w:widowControl/>
        <w:spacing w:after="120"/>
        <w:jc w:val="both"/>
        <w:rPr>
          <w:sz w:val="22"/>
          <w:szCs w:val="22"/>
        </w:rPr>
      </w:pPr>
    </w:p>
    <w:p w:rsidR="00E06DBD" w:rsidRDefault="00E06DBD" w:rsidP="000922F1">
      <w:pPr>
        <w:widowControl/>
        <w:numPr>
          <w:ilvl w:val="0"/>
          <w:numId w:val="5"/>
        </w:numPr>
        <w:spacing w:after="120"/>
        <w:ind w:left="540" w:hanging="540"/>
        <w:jc w:val="both"/>
        <w:rPr>
          <w:b/>
          <w:sz w:val="22"/>
          <w:szCs w:val="22"/>
        </w:rPr>
      </w:pPr>
      <w:r>
        <w:rPr>
          <w:b/>
          <w:sz w:val="22"/>
          <w:szCs w:val="22"/>
        </w:rPr>
        <w:t>Future sustainability of the National Scheme</w:t>
      </w:r>
    </w:p>
    <w:p w:rsidR="00E06DBD" w:rsidRDefault="00E06DBD" w:rsidP="000922F1">
      <w:pPr>
        <w:pStyle w:val="Default"/>
        <w:spacing w:after="120"/>
      </w:pPr>
      <w:r>
        <w:rPr>
          <w:color w:val="auto"/>
          <w:sz w:val="22"/>
          <w:szCs w:val="22"/>
          <w:lang w:eastAsia="en-US"/>
        </w:rPr>
        <w:t>In light of the above Terms of Reference, examine and make recommendations on the future sustainability of the National Scheme (particularly in relation to the addition of other professions and funding arrangements for smaller regulated professions).</w:t>
      </w:r>
    </w:p>
    <w:p w:rsidR="00E06DBD" w:rsidRDefault="00E06DBD" w:rsidP="000922F1">
      <w:pPr>
        <w:spacing w:after="120"/>
      </w:pPr>
    </w:p>
    <w:sectPr w:rsidR="00E06DBD" w:rsidSect="00FA4701">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2F1" w:rsidRDefault="000922F1" w:rsidP="000922F1">
      <w:r>
        <w:separator/>
      </w:r>
    </w:p>
  </w:endnote>
  <w:endnote w:type="continuationSeparator" w:id="0">
    <w:p w:rsidR="000922F1" w:rsidRDefault="000922F1" w:rsidP="000922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9940695"/>
      <w:docPartObj>
        <w:docPartGallery w:val="Page Numbers (Bottom of Page)"/>
        <w:docPartUnique/>
      </w:docPartObj>
    </w:sdtPr>
    <w:sdtEndPr>
      <w:rPr>
        <w:noProof/>
      </w:rPr>
    </w:sdtEndPr>
    <w:sdtContent>
      <w:p w:rsidR="000922F1" w:rsidRDefault="00FA4701">
        <w:pPr>
          <w:pStyle w:val="Footer"/>
          <w:jc w:val="center"/>
        </w:pPr>
        <w:r>
          <w:fldChar w:fldCharType="begin"/>
        </w:r>
        <w:r w:rsidR="000922F1">
          <w:instrText xml:space="preserve"> PAGE   \* MERGEFORMAT </w:instrText>
        </w:r>
        <w:r>
          <w:fldChar w:fldCharType="separate"/>
        </w:r>
        <w:r w:rsidR="001B4D2B">
          <w:rPr>
            <w:noProof/>
          </w:rPr>
          <w:t>1</w:t>
        </w:r>
        <w:r>
          <w:rPr>
            <w:noProof/>
          </w:rPr>
          <w:fldChar w:fldCharType="end"/>
        </w:r>
      </w:p>
    </w:sdtContent>
  </w:sdt>
  <w:p w:rsidR="000922F1" w:rsidRDefault="000922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2F1" w:rsidRDefault="000922F1" w:rsidP="000922F1">
      <w:r>
        <w:separator/>
      </w:r>
    </w:p>
  </w:footnote>
  <w:footnote w:type="continuationSeparator" w:id="0">
    <w:p w:rsidR="000922F1" w:rsidRDefault="000922F1" w:rsidP="000922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720AA"/>
    <w:multiLevelType w:val="hybridMultilevel"/>
    <w:tmpl w:val="8F98508C"/>
    <w:lvl w:ilvl="0" w:tplc="0C090017">
      <w:start w:val="1"/>
      <w:numFmt w:val="lowerLetter"/>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nsid w:val="14EC506D"/>
    <w:multiLevelType w:val="hybridMultilevel"/>
    <w:tmpl w:val="4808DB32"/>
    <w:lvl w:ilvl="0" w:tplc="0C090017">
      <w:start w:val="1"/>
      <w:numFmt w:val="lowerLetter"/>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
    <w:nsid w:val="1B1E71D9"/>
    <w:multiLevelType w:val="multilevel"/>
    <w:tmpl w:val="8D6C03F2"/>
    <w:lvl w:ilvl="0">
      <w:start w:val="1"/>
      <w:numFmt w:val="decimal"/>
      <w:lvlText w:val="(%1)"/>
      <w:lvlJc w:val="left"/>
      <w:pPr>
        <w:tabs>
          <w:tab w:val="num" w:pos="1134"/>
        </w:tabs>
        <w:ind w:left="1134" w:hanging="567"/>
      </w:pPr>
      <w:rPr>
        <w:rFonts w:cs="Times New Roman"/>
      </w:rPr>
    </w:lvl>
    <w:lvl w:ilvl="1">
      <w:start w:val="1"/>
      <w:numFmt w:val="lowerLetter"/>
      <w:lvlText w:val="(%2)"/>
      <w:lvlJc w:val="left"/>
      <w:pPr>
        <w:tabs>
          <w:tab w:val="num" w:pos="1701"/>
        </w:tabs>
        <w:ind w:left="1701" w:hanging="567"/>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25920F4A"/>
    <w:multiLevelType w:val="hybridMultilevel"/>
    <w:tmpl w:val="F118D2C0"/>
    <w:lvl w:ilvl="0" w:tplc="49A218C8">
      <w:start w:val="2"/>
      <w:numFmt w:val="lowerLetter"/>
      <w:lvlText w:val="%1)"/>
      <w:lvlJc w:val="left"/>
      <w:pPr>
        <w:tabs>
          <w:tab w:val="num" w:pos="567"/>
        </w:tabs>
        <w:ind w:left="567" w:hanging="567"/>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nsid w:val="5C753703"/>
    <w:multiLevelType w:val="hybridMultilevel"/>
    <w:tmpl w:val="45B6E78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Times New Roman"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Times New Roman" w:hint="default"/>
      </w:rPr>
    </w:lvl>
    <w:lvl w:ilvl="8" w:tplc="0C090005">
      <w:start w:val="1"/>
      <w:numFmt w:val="bullet"/>
      <w:lvlText w:val=""/>
      <w:lvlJc w:val="left"/>
      <w:pPr>
        <w:ind w:left="6120" w:hanging="360"/>
      </w:pPr>
      <w:rPr>
        <w:rFonts w:ascii="Wingdings" w:hAnsi="Wingdings" w:hint="default"/>
      </w:rPr>
    </w:lvl>
  </w:abstractNum>
  <w:abstractNum w:abstractNumId="5">
    <w:nsid w:val="61333DD6"/>
    <w:multiLevelType w:val="hybridMultilevel"/>
    <w:tmpl w:val="2DC41A9C"/>
    <w:lvl w:ilvl="0" w:tplc="568C9B24">
      <w:start w:val="4"/>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6">
    <w:nsid w:val="68FD0138"/>
    <w:multiLevelType w:val="hybridMultilevel"/>
    <w:tmpl w:val="D44CE11C"/>
    <w:lvl w:ilvl="0" w:tplc="0C090011">
      <w:start w:val="1"/>
      <w:numFmt w:val="decimal"/>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7">
    <w:nsid w:val="6C111546"/>
    <w:multiLevelType w:val="hybridMultilevel"/>
    <w:tmpl w:val="A77A9AF0"/>
    <w:lvl w:ilvl="0" w:tplc="0C090001">
      <w:start w:val="1"/>
      <w:numFmt w:val="bullet"/>
      <w:lvlText w:val=""/>
      <w:lvlJc w:val="left"/>
      <w:pPr>
        <w:tabs>
          <w:tab w:val="num" w:pos="780"/>
        </w:tabs>
        <w:ind w:left="780" w:hanging="360"/>
      </w:pPr>
      <w:rPr>
        <w:rFonts w:ascii="Symbol" w:hAnsi="Symbol" w:hint="default"/>
      </w:rPr>
    </w:lvl>
    <w:lvl w:ilvl="1" w:tplc="0C090003">
      <w:start w:val="1"/>
      <w:numFmt w:val="bullet"/>
      <w:lvlText w:val="o"/>
      <w:lvlJc w:val="left"/>
      <w:pPr>
        <w:tabs>
          <w:tab w:val="num" w:pos="1500"/>
        </w:tabs>
        <w:ind w:left="1500" w:hanging="360"/>
      </w:pPr>
      <w:rPr>
        <w:rFonts w:ascii="Courier New" w:hAnsi="Courier New" w:cs="Times New Roman" w:hint="default"/>
      </w:rPr>
    </w:lvl>
    <w:lvl w:ilvl="2" w:tplc="0C090005">
      <w:start w:val="1"/>
      <w:numFmt w:val="bullet"/>
      <w:lvlText w:val=""/>
      <w:lvlJc w:val="left"/>
      <w:pPr>
        <w:tabs>
          <w:tab w:val="num" w:pos="2220"/>
        </w:tabs>
        <w:ind w:left="2220" w:hanging="360"/>
      </w:pPr>
      <w:rPr>
        <w:rFonts w:ascii="Wingdings" w:hAnsi="Wingdings" w:hint="default"/>
      </w:rPr>
    </w:lvl>
    <w:lvl w:ilvl="3" w:tplc="0C090001">
      <w:start w:val="1"/>
      <w:numFmt w:val="bullet"/>
      <w:lvlText w:val=""/>
      <w:lvlJc w:val="left"/>
      <w:pPr>
        <w:tabs>
          <w:tab w:val="num" w:pos="2940"/>
        </w:tabs>
        <w:ind w:left="2940" w:hanging="360"/>
      </w:pPr>
      <w:rPr>
        <w:rFonts w:ascii="Symbol" w:hAnsi="Symbol" w:hint="default"/>
      </w:rPr>
    </w:lvl>
    <w:lvl w:ilvl="4" w:tplc="0C090003">
      <w:start w:val="1"/>
      <w:numFmt w:val="bullet"/>
      <w:lvlText w:val="o"/>
      <w:lvlJc w:val="left"/>
      <w:pPr>
        <w:tabs>
          <w:tab w:val="num" w:pos="3660"/>
        </w:tabs>
        <w:ind w:left="3660" w:hanging="360"/>
      </w:pPr>
      <w:rPr>
        <w:rFonts w:ascii="Courier New" w:hAnsi="Courier New" w:cs="Times New Roman" w:hint="default"/>
      </w:rPr>
    </w:lvl>
    <w:lvl w:ilvl="5" w:tplc="0C090005">
      <w:start w:val="1"/>
      <w:numFmt w:val="bullet"/>
      <w:lvlText w:val=""/>
      <w:lvlJc w:val="left"/>
      <w:pPr>
        <w:tabs>
          <w:tab w:val="num" w:pos="4380"/>
        </w:tabs>
        <w:ind w:left="4380" w:hanging="360"/>
      </w:pPr>
      <w:rPr>
        <w:rFonts w:ascii="Wingdings" w:hAnsi="Wingdings" w:hint="default"/>
      </w:rPr>
    </w:lvl>
    <w:lvl w:ilvl="6" w:tplc="0C090001">
      <w:start w:val="1"/>
      <w:numFmt w:val="bullet"/>
      <w:lvlText w:val=""/>
      <w:lvlJc w:val="left"/>
      <w:pPr>
        <w:tabs>
          <w:tab w:val="num" w:pos="5100"/>
        </w:tabs>
        <w:ind w:left="5100" w:hanging="360"/>
      </w:pPr>
      <w:rPr>
        <w:rFonts w:ascii="Symbol" w:hAnsi="Symbol" w:hint="default"/>
      </w:rPr>
    </w:lvl>
    <w:lvl w:ilvl="7" w:tplc="0C090003">
      <w:start w:val="1"/>
      <w:numFmt w:val="bullet"/>
      <w:lvlText w:val="o"/>
      <w:lvlJc w:val="left"/>
      <w:pPr>
        <w:tabs>
          <w:tab w:val="num" w:pos="5820"/>
        </w:tabs>
        <w:ind w:left="5820" w:hanging="360"/>
      </w:pPr>
      <w:rPr>
        <w:rFonts w:ascii="Courier New" w:hAnsi="Courier New" w:cs="Times New Roman" w:hint="default"/>
      </w:rPr>
    </w:lvl>
    <w:lvl w:ilvl="8" w:tplc="0C090005">
      <w:start w:val="1"/>
      <w:numFmt w:val="bullet"/>
      <w:lvlText w:val=""/>
      <w:lvlJc w:val="left"/>
      <w:pPr>
        <w:tabs>
          <w:tab w:val="num" w:pos="6540"/>
        </w:tabs>
        <w:ind w:left="6540" w:hanging="360"/>
      </w:pPr>
      <w:rPr>
        <w:rFonts w:ascii="Wingdings" w:hAnsi="Wingdings" w:hint="default"/>
      </w:rPr>
    </w:lvl>
  </w:abstractNum>
  <w:abstractNum w:abstractNumId="8">
    <w:nsid w:val="72BB44A2"/>
    <w:multiLevelType w:val="hybridMultilevel"/>
    <w:tmpl w:val="63FC17B8"/>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num w:numId="1">
    <w:abstractNumId w:val="4"/>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06DBD"/>
    <w:rsid w:val="000922F1"/>
    <w:rsid w:val="00155D16"/>
    <w:rsid w:val="001B4D2B"/>
    <w:rsid w:val="00E06DBD"/>
    <w:rsid w:val="00FA470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DBD"/>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6DBD"/>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BalloonText">
    <w:name w:val="Balloon Text"/>
    <w:basedOn w:val="Normal"/>
    <w:link w:val="BalloonTextChar"/>
    <w:uiPriority w:val="99"/>
    <w:semiHidden/>
    <w:unhideWhenUsed/>
    <w:rsid w:val="000922F1"/>
    <w:rPr>
      <w:rFonts w:ascii="Tahoma" w:hAnsi="Tahoma" w:cs="Tahoma"/>
      <w:sz w:val="16"/>
      <w:szCs w:val="16"/>
    </w:rPr>
  </w:style>
  <w:style w:type="character" w:customStyle="1" w:styleId="BalloonTextChar">
    <w:name w:val="Balloon Text Char"/>
    <w:basedOn w:val="DefaultParagraphFont"/>
    <w:link w:val="BalloonText"/>
    <w:uiPriority w:val="99"/>
    <w:semiHidden/>
    <w:rsid w:val="000922F1"/>
    <w:rPr>
      <w:rFonts w:ascii="Tahoma" w:eastAsia="Times New Roman" w:hAnsi="Tahoma" w:cs="Tahoma"/>
      <w:sz w:val="16"/>
      <w:szCs w:val="16"/>
    </w:rPr>
  </w:style>
  <w:style w:type="paragraph" w:styleId="Header">
    <w:name w:val="header"/>
    <w:basedOn w:val="Normal"/>
    <w:link w:val="HeaderChar"/>
    <w:uiPriority w:val="99"/>
    <w:unhideWhenUsed/>
    <w:rsid w:val="000922F1"/>
    <w:pPr>
      <w:tabs>
        <w:tab w:val="center" w:pos="4513"/>
        <w:tab w:val="right" w:pos="9026"/>
      </w:tabs>
    </w:pPr>
  </w:style>
  <w:style w:type="character" w:customStyle="1" w:styleId="HeaderChar">
    <w:name w:val="Header Char"/>
    <w:basedOn w:val="DefaultParagraphFont"/>
    <w:link w:val="Header"/>
    <w:uiPriority w:val="99"/>
    <w:rsid w:val="000922F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922F1"/>
    <w:pPr>
      <w:tabs>
        <w:tab w:val="center" w:pos="4513"/>
        <w:tab w:val="right" w:pos="9026"/>
      </w:tabs>
    </w:pPr>
  </w:style>
  <w:style w:type="character" w:customStyle="1" w:styleId="FooterChar">
    <w:name w:val="Footer Char"/>
    <w:basedOn w:val="DefaultParagraphFont"/>
    <w:link w:val="Footer"/>
    <w:uiPriority w:val="99"/>
    <w:rsid w:val="000922F1"/>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DBD"/>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6DBD"/>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BalloonText">
    <w:name w:val="Balloon Text"/>
    <w:basedOn w:val="Normal"/>
    <w:link w:val="BalloonTextChar"/>
    <w:uiPriority w:val="99"/>
    <w:semiHidden/>
    <w:unhideWhenUsed/>
    <w:rsid w:val="000922F1"/>
    <w:rPr>
      <w:rFonts w:ascii="Tahoma" w:hAnsi="Tahoma" w:cs="Tahoma"/>
      <w:sz w:val="16"/>
      <w:szCs w:val="16"/>
    </w:rPr>
  </w:style>
  <w:style w:type="character" w:customStyle="1" w:styleId="BalloonTextChar">
    <w:name w:val="Balloon Text Char"/>
    <w:basedOn w:val="DefaultParagraphFont"/>
    <w:link w:val="BalloonText"/>
    <w:uiPriority w:val="99"/>
    <w:semiHidden/>
    <w:rsid w:val="000922F1"/>
    <w:rPr>
      <w:rFonts w:ascii="Tahoma" w:eastAsia="Times New Roman" w:hAnsi="Tahoma" w:cs="Tahoma"/>
      <w:sz w:val="16"/>
      <w:szCs w:val="16"/>
    </w:rPr>
  </w:style>
  <w:style w:type="paragraph" w:styleId="Header">
    <w:name w:val="header"/>
    <w:basedOn w:val="Normal"/>
    <w:link w:val="HeaderChar"/>
    <w:uiPriority w:val="99"/>
    <w:unhideWhenUsed/>
    <w:rsid w:val="000922F1"/>
    <w:pPr>
      <w:tabs>
        <w:tab w:val="center" w:pos="4513"/>
        <w:tab w:val="right" w:pos="9026"/>
      </w:tabs>
    </w:pPr>
  </w:style>
  <w:style w:type="character" w:customStyle="1" w:styleId="HeaderChar">
    <w:name w:val="Header Char"/>
    <w:basedOn w:val="DefaultParagraphFont"/>
    <w:link w:val="Header"/>
    <w:uiPriority w:val="99"/>
    <w:rsid w:val="000922F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922F1"/>
    <w:pPr>
      <w:tabs>
        <w:tab w:val="center" w:pos="4513"/>
        <w:tab w:val="right" w:pos="9026"/>
      </w:tabs>
    </w:pPr>
  </w:style>
  <w:style w:type="character" w:customStyle="1" w:styleId="FooterChar">
    <w:name w:val="Footer Char"/>
    <w:basedOn w:val="DefaultParagraphFont"/>
    <w:link w:val="Footer"/>
    <w:uiPriority w:val="99"/>
    <w:rsid w:val="000922F1"/>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131074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SA Health</Company>
  <LinksUpToDate>false</LinksUpToDate>
  <CharactersWithSpaces>6830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Registration and Accreditation Scheme for the health professions</dc:title>
  <dc:subject>Review Terms of Reference</dc:subject>
  <dc:creator>Standing Council on Health</dc:creator>
  <cp:lastModifiedBy>Anthony J Roberts</cp:lastModifiedBy>
  <cp:revision>3</cp:revision>
  <dcterms:created xsi:type="dcterms:W3CDTF">2014-04-15T04:07:00Z</dcterms:created>
  <dcterms:modified xsi:type="dcterms:W3CDTF">2014-04-29T01:21:00Z</dcterms:modified>
</cp:coreProperties>
</file>