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81" w:rsidRPr="00D40323" w:rsidRDefault="00D40323" w:rsidP="00D40323">
      <w:pPr>
        <w:pStyle w:val="AHPRASubheading"/>
        <w:rPr>
          <w:rFonts w:cs="Arial"/>
          <w:b w:val="0"/>
          <w:color w:val="00BCE4"/>
          <w:sz w:val="32"/>
          <w:szCs w:val="52"/>
        </w:rPr>
      </w:pPr>
      <w:r w:rsidRPr="00D40323">
        <w:rPr>
          <w:rFonts w:cs="Arial"/>
          <w:b w:val="0"/>
          <w:color w:val="00BCE4"/>
          <w:sz w:val="32"/>
          <w:szCs w:val="52"/>
        </w:rPr>
        <w:t xml:space="preserve">Attachment 4 </w:t>
      </w:r>
      <w:r w:rsidR="00D14A7E" w:rsidRPr="00D14A7E">
        <w:pict>
          <v:shapetype id="_x0000_t32" coordsize="21600,21600" o:spt="32" o:oned="t" path="m,l21600,21600e" filled="f">
            <v:path arrowok="t" fillok="f" o:connecttype="none"/>
            <o:lock v:ext="edit" shapetype="t"/>
          </v:shapetype>
          <v:shape id="AutoShape 3" o:spid="_x0000_s1026" type="#_x0000_t32" style="position:absolute;margin-left:-63.15pt;margin-top:36.45pt;width:253.55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C3795C" w:rsidRDefault="00C3795C" w:rsidP="00FC2881">
      <w:pPr>
        <w:outlineLvl w:val="0"/>
      </w:pPr>
    </w:p>
    <w:p w:rsidR="00D40323" w:rsidRDefault="00D40323" w:rsidP="000F5D90">
      <w:pPr>
        <w:pStyle w:val="AHPRASubheading"/>
        <w:rPr>
          <w:rFonts w:cs="Arial"/>
          <w:b w:val="0"/>
          <w:color w:val="5F6062"/>
          <w:sz w:val="28"/>
          <w:szCs w:val="52"/>
        </w:rPr>
      </w:pPr>
      <w:bookmarkStart w:id="0" w:name="OLE_LINK5"/>
      <w:bookmarkStart w:id="1" w:name="OLE_LINK6"/>
      <w:r w:rsidRPr="00D40323">
        <w:rPr>
          <w:rFonts w:cs="Arial"/>
          <w:b w:val="0"/>
          <w:color w:val="5F6062"/>
          <w:sz w:val="28"/>
          <w:szCs w:val="52"/>
        </w:rPr>
        <w:t>Relevant sections of the National Law relating to board members</w:t>
      </w:r>
    </w:p>
    <w:bookmarkEnd w:id="0"/>
    <w:bookmarkEnd w:id="1"/>
    <w:p w:rsidR="00D40323" w:rsidRPr="002F6B9C" w:rsidRDefault="00D40323" w:rsidP="00D40323">
      <w:pPr>
        <w:pStyle w:val="AHPRASubheading"/>
      </w:pPr>
      <w:r w:rsidRPr="002F6B9C">
        <w:t>National Board members</w:t>
      </w:r>
    </w:p>
    <w:p w:rsidR="00D40323" w:rsidRPr="008D07AE" w:rsidRDefault="00D40323" w:rsidP="00D40323">
      <w:pPr>
        <w:rPr>
          <w:rFonts w:cs="Arial"/>
          <w:sz w:val="20"/>
          <w:szCs w:val="20"/>
        </w:rPr>
      </w:pPr>
      <w:r w:rsidRPr="008D07AE">
        <w:rPr>
          <w:rFonts w:cs="Arial"/>
          <w:sz w:val="20"/>
          <w:szCs w:val="20"/>
        </w:rPr>
        <w:t>The following sections of the National Law set out the legislative requirements for appointment of National Board members:</w:t>
      </w:r>
    </w:p>
    <w:p w:rsidR="00D40323" w:rsidRPr="002F6B9C" w:rsidRDefault="00D40323" w:rsidP="00D40323">
      <w:pPr>
        <w:pStyle w:val="AHPRASubheadinglevel2"/>
      </w:pPr>
      <w:r w:rsidRPr="002F6B9C">
        <w:t xml:space="preserve">33 </w:t>
      </w:r>
      <w:r>
        <w:tab/>
      </w:r>
      <w:r w:rsidRPr="002F6B9C">
        <w:t xml:space="preserve"> Membership of National Boards</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A National Board is to consist of members appointed in writing by the Ministerial Council.</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Members of a National Board are to be appointed as practitioner members or community members.</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Subject to this section, the Ministerial Council may decide the size and composition of a National Board.</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At least half, but not more than two-thirds, of the members of a National Board must be persons appointed as practitioner members.</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The practitioner members of a National Board must consist of—</w:t>
      </w:r>
    </w:p>
    <w:p w:rsidR="00D40323" w:rsidRPr="000B0E79" w:rsidRDefault="00D40323" w:rsidP="00D40323">
      <w:pPr>
        <w:pStyle w:val="ListParagraph"/>
        <w:numPr>
          <w:ilvl w:val="1"/>
          <w:numId w:val="15"/>
        </w:numPr>
        <w:tabs>
          <w:tab w:val="left" w:pos="993"/>
        </w:tabs>
        <w:spacing w:after="120" w:line="360" w:lineRule="auto"/>
        <w:rPr>
          <w:rFonts w:ascii="Arial" w:hAnsi="Arial" w:cs="Arial"/>
          <w:sz w:val="20"/>
          <w:szCs w:val="20"/>
          <w:lang w:eastAsia="en-AU"/>
        </w:rPr>
      </w:pPr>
      <w:r w:rsidRPr="000B0E79">
        <w:rPr>
          <w:rFonts w:ascii="Arial" w:hAnsi="Arial" w:cs="Arial"/>
          <w:sz w:val="20"/>
          <w:szCs w:val="20"/>
          <w:lang w:eastAsia="en-AU"/>
        </w:rPr>
        <w:t>at least one member from each large participating jurisdiction; and</w:t>
      </w:r>
    </w:p>
    <w:p w:rsidR="00D40323" w:rsidRPr="000B0E79" w:rsidRDefault="00D40323" w:rsidP="00D40323">
      <w:pPr>
        <w:pStyle w:val="ListParagraph"/>
        <w:numPr>
          <w:ilvl w:val="1"/>
          <w:numId w:val="15"/>
        </w:numPr>
        <w:tabs>
          <w:tab w:val="left" w:pos="993"/>
        </w:tabs>
        <w:spacing w:after="120" w:line="360" w:lineRule="auto"/>
        <w:rPr>
          <w:rFonts w:ascii="Arial" w:hAnsi="Arial" w:cs="Arial"/>
          <w:sz w:val="20"/>
          <w:szCs w:val="20"/>
          <w:lang w:eastAsia="en-AU"/>
        </w:rPr>
      </w:pPr>
      <w:proofErr w:type="gramStart"/>
      <w:r w:rsidRPr="000B0E79">
        <w:rPr>
          <w:rFonts w:ascii="Arial" w:hAnsi="Arial" w:cs="Arial"/>
          <w:sz w:val="20"/>
          <w:szCs w:val="20"/>
          <w:lang w:eastAsia="en-AU"/>
        </w:rPr>
        <w:t>at</w:t>
      </w:r>
      <w:proofErr w:type="gramEnd"/>
      <w:r w:rsidRPr="000B0E79">
        <w:rPr>
          <w:rFonts w:ascii="Arial" w:hAnsi="Arial" w:cs="Arial"/>
          <w:sz w:val="20"/>
          <w:szCs w:val="20"/>
          <w:lang w:eastAsia="en-AU"/>
        </w:rPr>
        <w:t xml:space="preserve"> least one member from a small participating jurisdiction.</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At least 2 of the members of a National Board must be persons appointed as community members.</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At least one of the members of a National Board must live in a regional or rural area.</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A person cannot be appointed as a member of a National Board if the person is a member of the Agency Management Committee.</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One of the practitioner members of the National Board is to be appointed as Chairperson of the Board by the Ministerial Council.</w:t>
      </w:r>
    </w:p>
    <w:p w:rsidR="00D40323" w:rsidRPr="000B0E79" w:rsidRDefault="00D40323" w:rsidP="00D40323">
      <w:pPr>
        <w:pStyle w:val="ListParagraph"/>
        <w:numPr>
          <w:ilvl w:val="0"/>
          <w:numId w:val="15"/>
        </w:numPr>
        <w:spacing w:after="120" w:line="360" w:lineRule="auto"/>
        <w:rPr>
          <w:rFonts w:ascii="Arial" w:hAnsi="Arial" w:cs="Arial"/>
          <w:sz w:val="20"/>
          <w:szCs w:val="20"/>
          <w:lang w:eastAsia="en-AU"/>
        </w:rPr>
      </w:pPr>
      <w:r w:rsidRPr="000B0E79">
        <w:rPr>
          <w:rFonts w:ascii="Arial" w:hAnsi="Arial" w:cs="Arial"/>
          <w:sz w:val="20"/>
          <w:szCs w:val="20"/>
          <w:lang w:eastAsia="en-AU"/>
        </w:rPr>
        <w:t>Schedule 4 sets out provisions relating to a National Board.</w:t>
      </w:r>
    </w:p>
    <w:p w:rsidR="00D40323" w:rsidRPr="000B0E79" w:rsidRDefault="00D40323" w:rsidP="00D40323">
      <w:pPr>
        <w:pStyle w:val="ListParagraph"/>
        <w:numPr>
          <w:ilvl w:val="0"/>
          <w:numId w:val="15"/>
        </w:numPr>
        <w:spacing w:after="0" w:line="360" w:lineRule="auto"/>
        <w:rPr>
          <w:rFonts w:ascii="Arial" w:hAnsi="Arial" w:cs="Arial"/>
          <w:sz w:val="20"/>
          <w:szCs w:val="20"/>
          <w:lang w:eastAsia="en-AU"/>
        </w:rPr>
      </w:pPr>
      <w:r w:rsidRPr="000B0E79">
        <w:rPr>
          <w:rFonts w:ascii="Arial" w:hAnsi="Arial" w:cs="Arial"/>
          <w:sz w:val="20"/>
          <w:szCs w:val="20"/>
          <w:lang w:eastAsia="en-AU"/>
        </w:rPr>
        <w:t>In this section—</w:t>
      </w:r>
    </w:p>
    <w:p w:rsidR="00D40323" w:rsidRPr="00164712" w:rsidRDefault="00D40323" w:rsidP="00D40323">
      <w:pPr>
        <w:spacing w:after="0"/>
        <w:ind w:left="993"/>
        <w:rPr>
          <w:rFonts w:cs="Arial"/>
          <w:sz w:val="20"/>
          <w:szCs w:val="20"/>
          <w:lang w:eastAsia="en-AU"/>
        </w:rPr>
      </w:pPr>
      <w:proofErr w:type="gramStart"/>
      <w:r w:rsidRPr="00164712">
        <w:rPr>
          <w:rFonts w:cs="Arial"/>
          <w:b/>
          <w:bCs/>
          <w:i/>
          <w:iCs/>
          <w:sz w:val="20"/>
          <w:szCs w:val="20"/>
          <w:lang w:eastAsia="en-AU"/>
        </w:rPr>
        <w:t>large</w:t>
      </w:r>
      <w:proofErr w:type="gramEnd"/>
      <w:r w:rsidRPr="00164712">
        <w:rPr>
          <w:rFonts w:cs="Arial"/>
          <w:b/>
          <w:bCs/>
          <w:i/>
          <w:iCs/>
          <w:sz w:val="20"/>
          <w:szCs w:val="20"/>
          <w:lang w:eastAsia="en-AU"/>
        </w:rPr>
        <w:t xml:space="preserve"> participating jurisdiction </w:t>
      </w:r>
      <w:r w:rsidRPr="00164712">
        <w:rPr>
          <w:rFonts w:cs="Arial"/>
          <w:sz w:val="20"/>
          <w:szCs w:val="20"/>
          <w:lang w:eastAsia="en-AU"/>
        </w:rPr>
        <w:t>means any of the following States that is a participating jurisdiction—</w:t>
      </w:r>
    </w:p>
    <w:p w:rsidR="00D40323" w:rsidRPr="00D40323" w:rsidRDefault="00D40323" w:rsidP="00D40323">
      <w:pPr>
        <w:pStyle w:val="ListParagraph"/>
        <w:numPr>
          <w:ilvl w:val="1"/>
          <w:numId w:val="15"/>
        </w:numPr>
        <w:tabs>
          <w:tab w:val="left" w:pos="993"/>
        </w:tabs>
        <w:spacing w:after="120" w:line="360" w:lineRule="auto"/>
        <w:rPr>
          <w:rFonts w:ascii="Arial" w:hAnsi="Arial" w:cs="Arial"/>
          <w:sz w:val="20"/>
          <w:szCs w:val="20"/>
          <w:lang w:eastAsia="en-AU"/>
        </w:rPr>
      </w:pPr>
      <w:r w:rsidRPr="00D40323">
        <w:rPr>
          <w:rFonts w:ascii="Arial" w:hAnsi="Arial" w:cs="Arial"/>
          <w:sz w:val="20"/>
          <w:szCs w:val="20"/>
          <w:lang w:eastAsia="en-AU"/>
        </w:rPr>
        <w:t>New South Wales;</w:t>
      </w:r>
    </w:p>
    <w:p w:rsidR="00D40323" w:rsidRPr="00D40323" w:rsidRDefault="00D40323" w:rsidP="00D40323">
      <w:pPr>
        <w:pStyle w:val="ListParagraph"/>
        <w:numPr>
          <w:ilvl w:val="1"/>
          <w:numId w:val="15"/>
        </w:numPr>
        <w:tabs>
          <w:tab w:val="left" w:pos="993"/>
        </w:tabs>
        <w:spacing w:after="120" w:line="360" w:lineRule="auto"/>
        <w:rPr>
          <w:rFonts w:ascii="Arial" w:hAnsi="Arial" w:cs="Arial"/>
          <w:sz w:val="20"/>
          <w:szCs w:val="20"/>
          <w:lang w:eastAsia="en-AU"/>
        </w:rPr>
      </w:pPr>
      <w:r w:rsidRPr="00D40323">
        <w:rPr>
          <w:rFonts w:ascii="Arial" w:hAnsi="Arial" w:cs="Arial"/>
          <w:sz w:val="20"/>
          <w:szCs w:val="20"/>
          <w:lang w:eastAsia="en-AU"/>
        </w:rPr>
        <w:t>Queensland;</w:t>
      </w:r>
    </w:p>
    <w:p w:rsidR="00D40323" w:rsidRPr="00D40323" w:rsidRDefault="00D40323" w:rsidP="00D40323">
      <w:pPr>
        <w:pStyle w:val="ListParagraph"/>
        <w:numPr>
          <w:ilvl w:val="1"/>
          <w:numId w:val="15"/>
        </w:numPr>
        <w:tabs>
          <w:tab w:val="left" w:pos="993"/>
        </w:tabs>
        <w:spacing w:after="120" w:line="360" w:lineRule="auto"/>
        <w:rPr>
          <w:rFonts w:ascii="Arial" w:hAnsi="Arial" w:cs="Arial"/>
          <w:sz w:val="20"/>
          <w:szCs w:val="20"/>
          <w:lang w:eastAsia="en-AU"/>
        </w:rPr>
      </w:pPr>
      <w:r w:rsidRPr="00D40323">
        <w:rPr>
          <w:rFonts w:ascii="Arial" w:hAnsi="Arial" w:cs="Arial"/>
          <w:sz w:val="20"/>
          <w:szCs w:val="20"/>
          <w:lang w:eastAsia="en-AU"/>
        </w:rPr>
        <w:t>South Australia;</w:t>
      </w:r>
    </w:p>
    <w:p w:rsidR="00D40323" w:rsidRPr="00D40323" w:rsidRDefault="00D40323" w:rsidP="00D40323">
      <w:pPr>
        <w:pStyle w:val="ListParagraph"/>
        <w:numPr>
          <w:ilvl w:val="1"/>
          <w:numId w:val="15"/>
        </w:numPr>
        <w:tabs>
          <w:tab w:val="left" w:pos="993"/>
        </w:tabs>
        <w:spacing w:after="120" w:line="360" w:lineRule="auto"/>
        <w:rPr>
          <w:rFonts w:ascii="Arial" w:hAnsi="Arial" w:cs="Arial"/>
          <w:sz w:val="20"/>
          <w:szCs w:val="20"/>
          <w:lang w:eastAsia="en-AU"/>
        </w:rPr>
      </w:pPr>
      <w:r w:rsidRPr="00D40323">
        <w:rPr>
          <w:rFonts w:ascii="Arial" w:hAnsi="Arial" w:cs="Arial"/>
          <w:sz w:val="20"/>
          <w:szCs w:val="20"/>
          <w:lang w:eastAsia="en-AU"/>
        </w:rPr>
        <w:t>Victoria;</w:t>
      </w:r>
    </w:p>
    <w:p w:rsidR="00D40323" w:rsidRPr="00D40323" w:rsidRDefault="00D40323" w:rsidP="00D40323">
      <w:pPr>
        <w:pStyle w:val="ListParagraph"/>
        <w:numPr>
          <w:ilvl w:val="1"/>
          <w:numId w:val="15"/>
        </w:numPr>
        <w:tabs>
          <w:tab w:val="left" w:pos="993"/>
        </w:tabs>
        <w:spacing w:after="120" w:line="360" w:lineRule="auto"/>
        <w:rPr>
          <w:rFonts w:ascii="Arial" w:hAnsi="Arial" w:cs="Arial"/>
          <w:sz w:val="20"/>
          <w:szCs w:val="20"/>
          <w:lang w:eastAsia="en-AU"/>
        </w:rPr>
      </w:pPr>
      <w:r w:rsidRPr="00D40323">
        <w:rPr>
          <w:rFonts w:ascii="Arial" w:hAnsi="Arial" w:cs="Arial"/>
          <w:sz w:val="20"/>
          <w:szCs w:val="20"/>
          <w:lang w:eastAsia="en-AU"/>
        </w:rPr>
        <w:t>Western Australia.</w:t>
      </w:r>
    </w:p>
    <w:p w:rsidR="00D40323" w:rsidRPr="00D40323" w:rsidRDefault="00D40323" w:rsidP="00D40323">
      <w:pPr>
        <w:tabs>
          <w:tab w:val="left" w:pos="993"/>
        </w:tabs>
        <w:spacing w:after="120" w:line="360" w:lineRule="auto"/>
        <w:ind w:left="1080"/>
        <w:rPr>
          <w:rFonts w:cs="Arial"/>
          <w:sz w:val="20"/>
          <w:szCs w:val="20"/>
          <w:lang w:eastAsia="en-AU"/>
        </w:rPr>
      </w:pPr>
      <w:proofErr w:type="gramStart"/>
      <w:r w:rsidRPr="00D40323">
        <w:rPr>
          <w:rFonts w:cs="Arial"/>
          <w:b/>
          <w:i/>
          <w:sz w:val="20"/>
          <w:szCs w:val="20"/>
          <w:lang w:eastAsia="en-AU"/>
        </w:rPr>
        <w:lastRenderedPageBreak/>
        <w:t>small</w:t>
      </w:r>
      <w:proofErr w:type="gramEnd"/>
      <w:r w:rsidRPr="00D40323">
        <w:rPr>
          <w:rFonts w:cs="Arial"/>
          <w:b/>
          <w:i/>
          <w:sz w:val="20"/>
          <w:szCs w:val="20"/>
          <w:lang w:eastAsia="en-AU"/>
        </w:rPr>
        <w:t xml:space="preserve"> participating jurisdiction</w:t>
      </w:r>
      <w:r w:rsidRPr="00D40323">
        <w:rPr>
          <w:rFonts w:cs="Arial"/>
          <w:sz w:val="20"/>
          <w:szCs w:val="20"/>
          <w:lang w:eastAsia="en-AU"/>
        </w:rPr>
        <w:t xml:space="preserve"> means any of the following States or Territories that is a participating jurisdiction—</w:t>
      </w:r>
    </w:p>
    <w:p w:rsidR="00D40323" w:rsidRPr="00D40323" w:rsidRDefault="00D40323" w:rsidP="00D40323">
      <w:pPr>
        <w:pStyle w:val="ListParagraph"/>
        <w:numPr>
          <w:ilvl w:val="0"/>
          <w:numId w:val="21"/>
        </w:numPr>
        <w:tabs>
          <w:tab w:val="left" w:pos="993"/>
        </w:tabs>
        <w:spacing w:after="120" w:line="360" w:lineRule="auto"/>
        <w:rPr>
          <w:rFonts w:ascii="Arial" w:hAnsi="Arial" w:cs="Arial"/>
          <w:sz w:val="20"/>
          <w:szCs w:val="20"/>
          <w:lang w:eastAsia="en-AU"/>
        </w:rPr>
      </w:pPr>
      <w:r w:rsidRPr="00D40323">
        <w:rPr>
          <w:rFonts w:ascii="Arial" w:hAnsi="Arial" w:cs="Arial"/>
          <w:sz w:val="20"/>
          <w:szCs w:val="20"/>
          <w:lang w:eastAsia="en-AU"/>
        </w:rPr>
        <w:t>the Australian Capital Territory;</w:t>
      </w:r>
    </w:p>
    <w:p w:rsidR="00D40323" w:rsidRPr="00D40323" w:rsidRDefault="00D40323" w:rsidP="00D40323">
      <w:pPr>
        <w:pStyle w:val="ListParagraph"/>
        <w:numPr>
          <w:ilvl w:val="0"/>
          <w:numId w:val="21"/>
        </w:numPr>
        <w:tabs>
          <w:tab w:val="left" w:pos="993"/>
        </w:tabs>
        <w:spacing w:after="120" w:line="360" w:lineRule="auto"/>
        <w:rPr>
          <w:rFonts w:ascii="Arial" w:hAnsi="Arial" w:cs="Arial"/>
          <w:sz w:val="20"/>
          <w:szCs w:val="20"/>
          <w:lang w:eastAsia="en-AU"/>
        </w:rPr>
      </w:pPr>
      <w:r w:rsidRPr="00D40323">
        <w:rPr>
          <w:rFonts w:ascii="Arial" w:hAnsi="Arial" w:cs="Arial"/>
          <w:sz w:val="20"/>
          <w:szCs w:val="20"/>
          <w:lang w:eastAsia="en-AU"/>
        </w:rPr>
        <w:t>the Northern Territory;</w:t>
      </w:r>
    </w:p>
    <w:p w:rsidR="00D40323" w:rsidRPr="00D40323" w:rsidRDefault="00D40323" w:rsidP="00D40323">
      <w:pPr>
        <w:pStyle w:val="ListParagraph"/>
        <w:numPr>
          <w:ilvl w:val="0"/>
          <w:numId w:val="21"/>
        </w:numPr>
        <w:tabs>
          <w:tab w:val="left" w:pos="993"/>
        </w:tabs>
        <w:spacing w:after="120" w:line="360" w:lineRule="auto"/>
        <w:rPr>
          <w:rFonts w:ascii="Arial" w:hAnsi="Arial" w:cs="Arial"/>
          <w:sz w:val="20"/>
          <w:szCs w:val="20"/>
          <w:lang w:eastAsia="en-AU"/>
        </w:rPr>
      </w:pPr>
      <w:r w:rsidRPr="00D40323">
        <w:rPr>
          <w:rFonts w:ascii="Arial" w:hAnsi="Arial" w:cs="Arial"/>
          <w:sz w:val="20"/>
          <w:szCs w:val="20"/>
          <w:lang w:eastAsia="en-AU"/>
        </w:rPr>
        <w:t>Tasmania.</w:t>
      </w:r>
    </w:p>
    <w:p w:rsidR="00D40323" w:rsidRPr="002F6B9C" w:rsidRDefault="00D40323" w:rsidP="00D40323">
      <w:pPr>
        <w:pStyle w:val="AHPRASubheadinglevel2"/>
      </w:pPr>
      <w:r w:rsidRPr="002F6B9C">
        <w:t xml:space="preserve">34  </w:t>
      </w:r>
      <w:r>
        <w:tab/>
      </w:r>
      <w:r w:rsidRPr="002F6B9C">
        <w:t>Eligibility for appointment</w:t>
      </w:r>
    </w:p>
    <w:p w:rsidR="00D40323" w:rsidRPr="000B0E79" w:rsidRDefault="00D40323" w:rsidP="00D40323">
      <w:pPr>
        <w:pStyle w:val="ListParagraph"/>
        <w:numPr>
          <w:ilvl w:val="0"/>
          <w:numId w:val="16"/>
        </w:numPr>
        <w:spacing w:before="240" w:after="120"/>
        <w:rPr>
          <w:rFonts w:ascii="Arial" w:hAnsi="Arial" w:cs="Arial"/>
          <w:sz w:val="20"/>
          <w:szCs w:val="20"/>
          <w:lang w:eastAsia="en-AU"/>
        </w:rPr>
      </w:pPr>
      <w:r w:rsidRPr="000B0E79">
        <w:rPr>
          <w:rFonts w:ascii="Arial" w:hAnsi="Arial" w:cs="Arial"/>
          <w:sz w:val="20"/>
          <w:szCs w:val="20"/>
          <w:lang w:eastAsia="en-AU"/>
        </w:rPr>
        <w:t>In deciding whether to appoint a person as a member of a National Board, the Ministerial Council is to have regard to the skills and experience of the person that are relevant to the Board’s functions.</w:t>
      </w:r>
    </w:p>
    <w:p w:rsidR="00D40323" w:rsidRPr="000B0E79" w:rsidRDefault="00D40323" w:rsidP="00D40323">
      <w:pPr>
        <w:pStyle w:val="ListParagraph"/>
        <w:numPr>
          <w:ilvl w:val="0"/>
          <w:numId w:val="16"/>
        </w:numPr>
        <w:spacing w:before="240" w:after="120"/>
        <w:rPr>
          <w:rFonts w:ascii="Arial" w:hAnsi="Arial" w:cs="Arial"/>
          <w:sz w:val="20"/>
          <w:szCs w:val="20"/>
          <w:lang w:eastAsia="en-AU"/>
        </w:rPr>
      </w:pPr>
      <w:r w:rsidRPr="000B0E79">
        <w:rPr>
          <w:rFonts w:ascii="Arial" w:hAnsi="Arial" w:cs="Arial"/>
          <w:sz w:val="20"/>
          <w:szCs w:val="20"/>
          <w:lang w:eastAsia="en-AU"/>
        </w:rPr>
        <w:t>A person is eligible to be appointed as a practitioner member only if the person is a registered health practitioner in the health profession for which the Board is established.</w:t>
      </w:r>
    </w:p>
    <w:p w:rsidR="00D40323" w:rsidRPr="000B0E79" w:rsidRDefault="00D40323" w:rsidP="00D40323">
      <w:pPr>
        <w:pStyle w:val="ListParagraph"/>
        <w:numPr>
          <w:ilvl w:val="0"/>
          <w:numId w:val="16"/>
        </w:numPr>
        <w:spacing w:before="240" w:after="120"/>
        <w:rPr>
          <w:rFonts w:ascii="Arial" w:hAnsi="Arial" w:cs="Arial"/>
          <w:sz w:val="20"/>
          <w:szCs w:val="20"/>
          <w:lang w:eastAsia="en-AU"/>
        </w:rPr>
      </w:pPr>
      <w:r w:rsidRPr="000B0E79">
        <w:rPr>
          <w:rFonts w:ascii="Arial" w:hAnsi="Arial" w:cs="Arial"/>
          <w:sz w:val="20"/>
          <w:szCs w:val="20"/>
          <w:lang w:eastAsia="en-AU"/>
        </w:rPr>
        <w:t>A person is eligible to be appointed as a community member of a National Board only if the person—</w:t>
      </w:r>
    </w:p>
    <w:p w:rsidR="00D40323" w:rsidRPr="000B0E79" w:rsidRDefault="00D40323" w:rsidP="00D40323">
      <w:pPr>
        <w:pStyle w:val="ListParagraph"/>
        <w:numPr>
          <w:ilvl w:val="1"/>
          <w:numId w:val="16"/>
        </w:numPr>
        <w:tabs>
          <w:tab w:val="left" w:pos="1418"/>
        </w:tabs>
        <w:spacing w:before="240" w:after="120"/>
        <w:rPr>
          <w:rFonts w:ascii="Arial" w:hAnsi="Arial" w:cs="Arial"/>
          <w:sz w:val="20"/>
          <w:szCs w:val="20"/>
          <w:lang w:eastAsia="en-AU"/>
        </w:rPr>
      </w:pPr>
      <w:r w:rsidRPr="000B0E79">
        <w:rPr>
          <w:rFonts w:ascii="Arial" w:hAnsi="Arial" w:cs="Arial"/>
          <w:sz w:val="20"/>
          <w:szCs w:val="20"/>
          <w:lang w:eastAsia="en-AU"/>
        </w:rPr>
        <w:t>is not a registered health practitioner in the health profession for which the Board is established; and</w:t>
      </w:r>
    </w:p>
    <w:p w:rsidR="00D40323" w:rsidRPr="000B0E79" w:rsidRDefault="00D40323" w:rsidP="00D40323">
      <w:pPr>
        <w:pStyle w:val="ListParagraph"/>
        <w:numPr>
          <w:ilvl w:val="1"/>
          <w:numId w:val="16"/>
        </w:numPr>
        <w:spacing w:before="240" w:after="120"/>
        <w:rPr>
          <w:rFonts w:ascii="Arial" w:hAnsi="Arial" w:cs="Arial"/>
          <w:sz w:val="20"/>
          <w:szCs w:val="20"/>
          <w:lang w:eastAsia="en-AU"/>
        </w:rPr>
      </w:pPr>
      <w:proofErr w:type="gramStart"/>
      <w:r w:rsidRPr="000B0E79">
        <w:rPr>
          <w:rFonts w:ascii="Arial" w:hAnsi="Arial" w:cs="Arial"/>
          <w:sz w:val="20"/>
          <w:szCs w:val="20"/>
          <w:lang w:eastAsia="en-AU"/>
        </w:rPr>
        <w:t>has</w:t>
      </w:r>
      <w:proofErr w:type="gramEnd"/>
      <w:r w:rsidRPr="000B0E79">
        <w:rPr>
          <w:rFonts w:ascii="Arial" w:hAnsi="Arial" w:cs="Arial"/>
          <w:sz w:val="20"/>
          <w:szCs w:val="20"/>
          <w:lang w:eastAsia="en-AU"/>
        </w:rPr>
        <w:t xml:space="preserve"> not at any time been registered as a health practitioner in the health profession under this Law or a corresponding prior Act.</w:t>
      </w:r>
    </w:p>
    <w:p w:rsidR="00D40323" w:rsidRPr="000B0E79" w:rsidRDefault="00D40323" w:rsidP="00D40323">
      <w:pPr>
        <w:pStyle w:val="ListParagraph"/>
        <w:numPr>
          <w:ilvl w:val="0"/>
          <w:numId w:val="16"/>
        </w:numPr>
        <w:spacing w:before="240" w:after="120"/>
        <w:rPr>
          <w:rFonts w:ascii="Arial" w:hAnsi="Arial" w:cs="Arial"/>
          <w:sz w:val="20"/>
          <w:szCs w:val="20"/>
          <w:lang w:eastAsia="en-AU"/>
        </w:rPr>
      </w:pPr>
      <w:r w:rsidRPr="000B0E79">
        <w:rPr>
          <w:rFonts w:ascii="Arial" w:hAnsi="Arial" w:cs="Arial"/>
          <w:sz w:val="20"/>
          <w:szCs w:val="20"/>
          <w:lang w:eastAsia="en-AU"/>
        </w:rPr>
        <w:t>A person is not eligible to be appointed as a member of a National Board if—</w:t>
      </w:r>
    </w:p>
    <w:p w:rsidR="00D40323" w:rsidRPr="000B0E79" w:rsidRDefault="00D40323" w:rsidP="00D40323">
      <w:pPr>
        <w:pStyle w:val="ListParagraph"/>
        <w:numPr>
          <w:ilvl w:val="1"/>
          <w:numId w:val="16"/>
        </w:numPr>
        <w:spacing w:before="240" w:after="120"/>
        <w:rPr>
          <w:rFonts w:ascii="Arial" w:hAnsi="Arial" w:cs="Arial"/>
          <w:sz w:val="20"/>
          <w:szCs w:val="20"/>
          <w:lang w:eastAsia="en-AU"/>
        </w:rPr>
      </w:pPr>
      <w:r w:rsidRPr="000B0E79">
        <w:rPr>
          <w:rFonts w:ascii="Arial" w:hAnsi="Arial" w:cs="Arial"/>
          <w:sz w:val="20"/>
          <w:szCs w:val="20"/>
          <w:lang w:eastAsia="en-AU"/>
        </w:rPr>
        <w:t>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D40323" w:rsidRPr="000B0E79" w:rsidRDefault="00D40323" w:rsidP="00D40323">
      <w:pPr>
        <w:pStyle w:val="ListParagraph"/>
        <w:numPr>
          <w:ilvl w:val="1"/>
          <w:numId w:val="16"/>
        </w:numPr>
        <w:spacing w:before="240"/>
        <w:rPr>
          <w:rFonts w:ascii="Arial" w:hAnsi="Arial" w:cs="Arial"/>
          <w:sz w:val="20"/>
          <w:szCs w:val="20"/>
          <w:lang w:eastAsia="en-AU"/>
        </w:rPr>
      </w:pPr>
      <w:proofErr w:type="gramStart"/>
      <w:r w:rsidRPr="000B0E79">
        <w:rPr>
          <w:rFonts w:ascii="Arial" w:hAnsi="Arial" w:cs="Arial"/>
          <w:sz w:val="20"/>
          <w:szCs w:val="20"/>
          <w:lang w:eastAsia="en-AU"/>
        </w:rPr>
        <w:t>in</w:t>
      </w:r>
      <w:proofErr w:type="gramEnd"/>
      <w:r w:rsidRPr="000B0E79">
        <w:rPr>
          <w:rFonts w:ascii="Arial" w:hAnsi="Arial" w:cs="Arial"/>
          <w:sz w:val="20"/>
          <w:szCs w:val="20"/>
          <w:lang w:eastAsia="en-AU"/>
        </w:rPr>
        <w:t xml:space="preserve"> any case, the person has, at any time, been found guilty of an offence (whether in a participating jurisdiction or elsewhere) that, in the opinion of the Ministerial Council, renders the person unfit to hold the office of member.</w:t>
      </w:r>
    </w:p>
    <w:p w:rsidR="00D40323" w:rsidRPr="000D0717" w:rsidRDefault="00D40323" w:rsidP="00D40323">
      <w:pPr>
        <w:spacing w:before="240"/>
        <w:rPr>
          <w:rFonts w:cs="Arial"/>
          <w:sz w:val="20"/>
          <w:szCs w:val="20"/>
        </w:rPr>
      </w:pPr>
      <w:r w:rsidRPr="000D0717">
        <w:rPr>
          <w:rFonts w:cs="Arial"/>
          <w:sz w:val="20"/>
          <w:szCs w:val="20"/>
        </w:rPr>
        <w:t>The following clauses in Schedule 4 of the National Law are also relevant to the appointment of National Board members:</w:t>
      </w:r>
    </w:p>
    <w:p w:rsidR="00D40323" w:rsidRPr="002F6B9C" w:rsidRDefault="00D40323" w:rsidP="00D40323">
      <w:pPr>
        <w:pStyle w:val="AHPRASubheadinglevel2"/>
      </w:pPr>
      <w:r w:rsidRPr="002F6B9C">
        <w:t xml:space="preserve">2  </w:t>
      </w:r>
      <w:r>
        <w:tab/>
      </w:r>
      <w:r w:rsidRPr="002F6B9C">
        <w:t>Terms of office of members</w:t>
      </w:r>
    </w:p>
    <w:p w:rsidR="00D40323" w:rsidRPr="00164712" w:rsidRDefault="00D40323" w:rsidP="00D40323">
      <w:pPr>
        <w:pStyle w:val="AHPRAbody"/>
        <w:rPr>
          <w:lang w:eastAsia="en-AU"/>
        </w:rPr>
      </w:pPr>
      <w:r w:rsidRPr="00164712">
        <w:rPr>
          <w:lang w:eastAsia="en-AU"/>
        </w:rPr>
        <w:t>Subject to this Schedule, a member holds office for the period (not exceeding 3 years) specified in the member’s instrument of appointment, but is eligible (if otherwise qualified) for reappointment.</w:t>
      </w:r>
    </w:p>
    <w:p w:rsidR="00D40323" w:rsidRPr="002F6B9C" w:rsidRDefault="00D40323" w:rsidP="00D40323">
      <w:pPr>
        <w:pStyle w:val="AHPRASubheadinglevel2"/>
      </w:pPr>
      <w:r w:rsidRPr="002F6B9C">
        <w:t xml:space="preserve">3  </w:t>
      </w:r>
      <w:r>
        <w:tab/>
      </w:r>
      <w:r w:rsidRPr="002F6B9C">
        <w:t>Remuneration</w:t>
      </w:r>
    </w:p>
    <w:p w:rsidR="00D40323" w:rsidRPr="00164712" w:rsidRDefault="00D40323" w:rsidP="00D40323">
      <w:pPr>
        <w:pStyle w:val="AHPRAbody"/>
        <w:rPr>
          <w:lang w:eastAsia="en-AU"/>
        </w:rPr>
      </w:pPr>
      <w:r w:rsidRPr="00164712">
        <w:rPr>
          <w:lang w:eastAsia="en-AU"/>
        </w:rPr>
        <w:t>A member is entitled to be paid such remuneration (including travelling and subsistence allowances) as the Ministerial Council may from time to time determine with respect to the member.</w:t>
      </w:r>
    </w:p>
    <w:p w:rsidR="00D40323" w:rsidRPr="002F6B9C" w:rsidRDefault="00D40323" w:rsidP="00D40323">
      <w:pPr>
        <w:pStyle w:val="AHPRASubheadinglevel2"/>
      </w:pPr>
      <w:r w:rsidRPr="002F6B9C">
        <w:t xml:space="preserve">4  </w:t>
      </w:r>
      <w:r>
        <w:tab/>
      </w:r>
      <w:r w:rsidRPr="002F6B9C">
        <w:t>Vacancy in office of member</w:t>
      </w:r>
    </w:p>
    <w:p w:rsidR="00D40323" w:rsidRPr="000B0E79" w:rsidRDefault="00D40323" w:rsidP="00D40323">
      <w:pPr>
        <w:pStyle w:val="ListParagraph"/>
        <w:numPr>
          <w:ilvl w:val="0"/>
          <w:numId w:val="17"/>
        </w:numPr>
        <w:tabs>
          <w:tab w:val="left" w:pos="993"/>
        </w:tabs>
        <w:spacing w:before="240" w:after="120"/>
        <w:rPr>
          <w:rFonts w:ascii="Arial" w:hAnsi="Arial" w:cs="Arial"/>
          <w:sz w:val="20"/>
          <w:szCs w:val="20"/>
          <w:lang w:eastAsia="en-AU"/>
        </w:rPr>
      </w:pPr>
      <w:r w:rsidRPr="000B0E79">
        <w:rPr>
          <w:rFonts w:ascii="Arial" w:hAnsi="Arial" w:cs="Arial"/>
          <w:sz w:val="20"/>
          <w:szCs w:val="20"/>
          <w:lang w:eastAsia="en-AU"/>
        </w:rPr>
        <w:t>The office of a member becomes vacant if the member—</w:t>
      </w:r>
    </w:p>
    <w:p w:rsidR="00D40323" w:rsidRPr="000B0E79" w:rsidRDefault="00D40323" w:rsidP="00D40323">
      <w:pPr>
        <w:pStyle w:val="ListParagraph"/>
        <w:numPr>
          <w:ilvl w:val="1"/>
          <w:numId w:val="17"/>
        </w:numPr>
        <w:tabs>
          <w:tab w:val="left" w:pos="1418"/>
        </w:tabs>
        <w:spacing w:before="240" w:after="120"/>
        <w:rPr>
          <w:rFonts w:ascii="Arial" w:hAnsi="Arial" w:cs="Arial"/>
          <w:sz w:val="20"/>
          <w:szCs w:val="20"/>
          <w:lang w:eastAsia="en-AU"/>
        </w:rPr>
      </w:pPr>
      <w:r w:rsidRPr="000B0E79">
        <w:rPr>
          <w:rFonts w:ascii="Arial" w:hAnsi="Arial" w:cs="Arial"/>
          <w:sz w:val="20"/>
          <w:szCs w:val="20"/>
          <w:lang w:eastAsia="en-AU"/>
        </w:rPr>
        <w:t>completes a term of office; or</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r w:rsidRPr="000B0E79">
        <w:rPr>
          <w:rFonts w:ascii="Arial" w:hAnsi="Arial" w:cs="Arial"/>
          <w:sz w:val="20"/>
          <w:szCs w:val="20"/>
          <w:lang w:eastAsia="en-AU"/>
        </w:rPr>
        <w:t>resigns the office by instrument in writing addressed to the Chairperson of the Ministerial Council; or</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r w:rsidRPr="000B0E79">
        <w:rPr>
          <w:rFonts w:ascii="Arial" w:hAnsi="Arial" w:cs="Arial"/>
          <w:sz w:val="20"/>
          <w:szCs w:val="20"/>
          <w:lang w:eastAsia="en-AU"/>
        </w:rPr>
        <w:t>is removed from office by the Chairperson of the Ministerial Council under this clause; or</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r w:rsidRPr="000B0E79">
        <w:rPr>
          <w:rFonts w:ascii="Arial" w:hAnsi="Arial" w:cs="Arial"/>
          <w:sz w:val="20"/>
          <w:szCs w:val="20"/>
          <w:lang w:eastAsia="en-AU"/>
        </w:rPr>
        <w:t>is absent, without leave first being granted by the Chairperson of the Board, from 3 or more consecutive meetings of the National Board of which reasonable notice has been given to the member personally or by post; or</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proofErr w:type="gramStart"/>
      <w:r w:rsidRPr="000B0E79">
        <w:rPr>
          <w:rFonts w:ascii="Arial" w:hAnsi="Arial" w:cs="Arial"/>
          <w:sz w:val="20"/>
          <w:szCs w:val="20"/>
          <w:lang w:eastAsia="en-AU"/>
        </w:rPr>
        <w:t>dies</w:t>
      </w:r>
      <w:proofErr w:type="gramEnd"/>
      <w:r w:rsidRPr="000B0E79">
        <w:rPr>
          <w:rFonts w:ascii="Arial" w:hAnsi="Arial" w:cs="Arial"/>
          <w:sz w:val="20"/>
          <w:szCs w:val="20"/>
          <w:lang w:eastAsia="en-AU"/>
        </w:rPr>
        <w:t>.</w:t>
      </w:r>
    </w:p>
    <w:p w:rsidR="00D40323" w:rsidRDefault="00D40323">
      <w:pPr>
        <w:spacing w:after="0"/>
        <w:rPr>
          <w:rFonts w:eastAsia="Times New Roman" w:cs="Arial"/>
          <w:sz w:val="20"/>
          <w:szCs w:val="20"/>
          <w:lang w:val="en-US" w:eastAsia="en-AU"/>
        </w:rPr>
      </w:pPr>
      <w:r>
        <w:rPr>
          <w:rFonts w:cs="Arial"/>
          <w:sz w:val="20"/>
          <w:szCs w:val="20"/>
          <w:lang w:eastAsia="en-AU"/>
        </w:rPr>
        <w:br w:type="page"/>
      </w:r>
    </w:p>
    <w:p w:rsidR="00D40323" w:rsidRPr="000B0E79" w:rsidRDefault="00D40323" w:rsidP="00D40323">
      <w:pPr>
        <w:pStyle w:val="ListParagraph"/>
        <w:numPr>
          <w:ilvl w:val="0"/>
          <w:numId w:val="17"/>
        </w:numPr>
        <w:tabs>
          <w:tab w:val="left" w:pos="993"/>
        </w:tabs>
        <w:spacing w:before="240" w:after="120"/>
        <w:rPr>
          <w:rFonts w:ascii="Arial" w:hAnsi="Arial" w:cs="Arial"/>
          <w:sz w:val="20"/>
          <w:szCs w:val="20"/>
          <w:lang w:eastAsia="en-AU"/>
        </w:rPr>
      </w:pPr>
      <w:r w:rsidRPr="000B0E79">
        <w:rPr>
          <w:rFonts w:ascii="Arial" w:hAnsi="Arial" w:cs="Arial"/>
          <w:sz w:val="20"/>
          <w:szCs w:val="20"/>
          <w:lang w:eastAsia="en-AU"/>
        </w:rPr>
        <w:lastRenderedPageBreak/>
        <w:t>The Chairperson of the Ministerial Council may remove a member from office if—</w:t>
      </w:r>
      <w:r>
        <w:rPr>
          <w:rFonts w:ascii="Arial" w:hAnsi="Arial" w:cs="Arial"/>
          <w:sz w:val="20"/>
          <w:szCs w:val="20"/>
          <w:lang w:eastAsia="en-AU"/>
        </w:rPr>
        <w:t xml:space="preserve"> </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r w:rsidRPr="000B0E79">
        <w:rPr>
          <w:rFonts w:ascii="Arial" w:hAnsi="Arial" w:cs="Arial"/>
          <w:sz w:val="20"/>
          <w:szCs w:val="20"/>
          <w:lang w:eastAsia="en-AU"/>
        </w:rPr>
        <w:t>the member has been found guilty of an offence (whether in a participating jurisdiction or elsewhere) that, in the opinion of the Chairperson of the Ministerial Council, renders the member unfit to continue to hold the office of member; or</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r w:rsidRPr="000B0E79">
        <w:rPr>
          <w:rFonts w:ascii="Arial" w:hAnsi="Arial" w:cs="Arial"/>
          <w:sz w:val="20"/>
          <w:szCs w:val="20"/>
          <w:lang w:eastAsia="en-AU"/>
        </w:rPr>
        <w:t>the member ceases to be a registered health practitioner as a result of the member’s misconduct, impairment or incompetence; or</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r w:rsidRPr="000B0E79">
        <w:rPr>
          <w:rFonts w:ascii="Arial" w:hAnsi="Arial" w:cs="Arial"/>
          <w:sz w:val="20"/>
          <w:szCs w:val="20"/>
          <w:lang w:eastAsia="en-AU"/>
        </w:rPr>
        <w:t>the member ceases to be eligible for appointment to the office that the member holds on the National Board; or</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r w:rsidRPr="000B0E79">
        <w:rPr>
          <w:rFonts w:ascii="Arial" w:hAnsi="Arial" w:cs="Arial"/>
          <w:sz w:val="20"/>
          <w:szCs w:val="20"/>
          <w:lang w:eastAsia="en-AU"/>
        </w:rPr>
        <w:t>the member becomes bankrupt, applies to take the benefit of any law for the relief of bankrupt or insolvent debtors, compounds with member’s creditors or makes an assignment of the member’s remuneration for their benefit; or</w:t>
      </w:r>
    </w:p>
    <w:p w:rsidR="00D40323" w:rsidRPr="000B0E79" w:rsidRDefault="00D40323" w:rsidP="00D40323">
      <w:pPr>
        <w:pStyle w:val="ListParagraph"/>
        <w:numPr>
          <w:ilvl w:val="1"/>
          <w:numId w:val="17"/>
        </w:numPr>
        <w:spacing w:before="240" w:after="120"/>
        <w:rPr>
          <w:rFonts w:ascii="Arial" w:hAnsi="Arial" w:cs="Arial"/>
          <w:sz w:val="20"/>
          <w:szCs w:val="20"/>
          <w:lang w:eastAsia="en-AU"/>
        </w:rPr>
      </w:pPr>
      <w:proofErr w:type="gramStart"/>
      <w:r w:rsidRPr="000B0E79">
        <w:rPr>
          <w:rFonts w:ascii="Arial" w:hAnsi="Arial" w:cs="Arial"/>
          <w:sz w:val="20"/>
          <w:szCs w:val="20"/>
          <w:lang w:eastAsia="en-AU"/>
        </w:rPr>
        <w:t>the</w:t>
      </w:r>
      <w:proofErr w:type="gramEnd"/>
      <w:r w:rsidRPr="000B0E79">
        <w:rPr>
          <w:rFonts w:ascii="Arial" w:hAnsi="Arial" w:cs="Arial"/>
          <w:sz w:val="20"/>
          <w:szCs w:val="20"/>
          <w:lang w:eastAsia="en-AU"/>
        </w:rPr>
        <w:t xml:space="preserve"> National Board recommends the removal of the member, on the basis that the member has engaged in misconduct or has failed or is unable to properly exercise the member’s functions as a member.</w:t>
      </w:r>
    </w:p>
    <w:p w:rsidR="00D40323" w:rsidRPr="002F6B9C" w:rsidRDefault="00D40323" w:rsidP="00D40323">
      <w:pPr>
        <w:pStyle w:val="AHPRASubheadinglevel2"/>
      </w:pPr>
      <w:r w:rsidRPr="002F6B9C">
        <w:t xml:space="preserve">5  </w:t>
      </w:r>
      <w:r>
        <w:tab/>
      </w:r>
      <w:r w:rsidRPr="002F6B9C">
        <w:t xml:space="preserve"> Vacancies to be advertised</w:t>
      </w:r>
    </w:p>
    <w:p w:rsidR="00D40323" w:rsidRPr="00164712" w:rsidRDefault="00D40323" w:rsidP="00D40323">
      <w:pPr>
        <w:numPr>
          <w:ilvl w:val="0"/>
          <w:numId w:val="18"/>
        </w:numPr>
        <w:spacing w:after="120" w:line="276" w:lineRule="auto"/>
        <w:rPr>
          <w:rFonts w:cs="Arial"/>
          <w:sz w:val="20"/>
          <w:szCs w:val="20"/>
          <w:lang w:eastAsia="en-AU"/>
        </w:rPr>
      </w:pPr>
      <w:r w:rsidRPr="00164712">
        <w:rPr>
          <w:rFonts w:cs="Arial"/>
          <w:sz w:val="20"/>
          <w:szCs w:val="20"/>
          <w:lang w:eastAsia="en-AU"/>
        </w:rPr>
        <w:t>Before the Ministerial Council appoints a member of a National Board, the vacancy to be filled is to be publicly advertised.</w:t>
      </w:r>
    </w:p>
    <w:p w:rsidR="00D40323" w:rsidRPr="000B0E79" w:rsidRDefault="00D40323" w:rsidP="00D40323">
      <w:pPr>
        <w:numPr>
          <w:ilvl w:val="0"/>
          <w:numId w:val="18"/>
        </w:numPr>
        <w:spacing w:after="120" w:line="276" w:lineRule="auto"/>
        <w:rPr>
          <w:rFonts w:cs="Arial"/>
          <w:sz w:val="20"/>
          <w:szCs w:val="20"/>
          <w:lang w:eastAsia="en-AU"/>
        </w:rPr>
      </w:pPr>
      <w:r w:rsidRPr="000B0E79">
        <w:rPr>
          <w:rFonts w:cs="Arial"/>
          <w:sz w:val="20"/>
          <w:szCs w:val="20"/>
          <w:lang w:eastAsia="en-AU"/>
        </w:rPr>
        <w:t>The National Agency may assist the Ministerial Council in the process of appointing members of a National Board, including in the advertising of vacancies.</w:t>
      </w:r>
    </w:p>
    <w:p w:rsidR="00D40323" w:rsidRPr="000B0E79" w:rsidRDefault="00D40323" w:rsidP="00D40323">
      <w:pPr>
        <w:numPr>
          <w:ilvl w:val="0"/>
          <w:numId w:val="18"/>
        </w:numPr>
        <w:spacing w:after="120" w:line="276" w:lineRule="auto"/>
        <w:rPr>
          <w:rFonts w:cs="Arial"/>
          <w:sz w:val="20"/>
          <w:szCs w:val="20"/>
          <w:lang w:eastAsia="en-AU"/>
        </w:rPr>
      </w:pPr>
      <w:r w:rsidRPr="000B0E79">
        <w:rPr>
          <w:rFonts w:cs="Arial"/>
          <w:sz w:val="20"/>
          <w:szCs w:val="20"/>
          <w:lang w:eastAsia="en-AU"/>
        </w:rPr>
        <w:t>It is not necessary to advertise a vacancy in the membership of a National Board before appointing a person to act in the office of a member.</w:t>
      </w:r>
    </w:p>
    <w:p w:rsidR="00D40323" w:rsidRPr="00164712" w:rsidRDefault="00D40323" w:rsidP="00D40323">
      <w:pPr>
        <w:spacing w:after="120"/>
        <w:ind w:left="273" w:firstLine="720"/>
        <w:rPr>
          <w:rFonts w:cs="Arial"/>
          <w:sz w:val="20"/>
          <w:szCs w:val="20"/>
          <w:lang w:eastAsia="en-AU"/>
        </w:rPr>
      </w:pPr>
      <w:r w:rsidRPr="00164712">
        <w:rPr>
          <w:rFonts w:cs="Arial"/>
          <w:b/>
          <w:sz w:val="20"/>
          <w:szCs w:val="20"/>
          <w:lang w:eastAsia="en-AU"/>
        </w:rPr>
        <w:t>Note</w:t>
      </w:r>
      <w:r w:rsidRPr="00164712">
        <w:rPr>
          <w:rFonts w:cs="Arial"/>
          <w:sz w:val="20"/>
          <w:szCs w:val="20"/>
          <w:lang w:eastAsia="en-AU"/>
        </w:rPr>
        <w:t>.</w:t>
      </w:r>
    </w:p>
    <w:p w:rsidR="00D40323" w:rsidRPr="00164712" w:rsidRDefault="00D40323" w:rsidP="00D40323">
      <w:pPr>
        <w:spacing w:after="120"/>
        <w:ind w:left="993"/>
        <w:rPr>
          <w:rFonts w:cs="Arial"/>
          <w:sz w:val="20"/>
          <w:szCs w:val="20"/>
          <w:lang w:eastAsia="en-AU"/>
        </w:rPr>
      </w:pPr>
      <w:r w:rsidRPr="00164712">
        <w:rPr>
          <w:rFonts w:cs="Arial"/>
          <w:sz w:val="20"/>
          <w:szCs w:val="20"/>
          <w:lang w:eastAsia="en-AU"/>
        </w:rPr>
        <w:t>The general interpretation provisions applicable to this Law under section 6 confer power to appoint acting members of a National Board.</w:t>
      </w:r>
    </w:p>
    <w:p w:rsidR="00D40323" w:rsidRPr="002F6B9C" w:rsidRDefault="00D40323" w:rsidP="00D40323">
      <w:pPr>
        <w:pStyle w:val="AHPRASubheadinglevel2"/>
      </w:pPr>
      <w:r w:rsidRPr="002F6B9C">
        <w:t xml:space="preserve">6   </w:t>
      </w:r>
      <w:r>
        <w:tab/>
      </w:r>
      <w:r w:rsidRPr="002F6B9C">
        <w:t>Extension of term of office during vacancy in membership</w:t>
      </w:r>
    </w:p>
    <w:p w:rsidR="00D40323" w:rsidRPr="00164712" w:rsidRDefault="00D40323" w:rsidP="00D40323">
      <w:pPr>
        <w:numPr>
          <w:ilvl w:val="0"/>
          <w:numId w:val="19"/>
        </w:numPr>
        <w:spacing w:line="276" w:lineRule="auto"/>
        <w:rPr>
          <w:rFonts w:cs="Arial"/>
          <w:sz w:val="20"/>
          <w:szCs w:val="20"/>
          <w:lang w:eastAsia="en-AU"/>
        </w:rPr>
      </w:pPr>
      <w:r w:rsidRPr="00164712">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D40323" w:rsidRPr="000B0E79" w:rsidRDefault="00D40323" w:rsidP="00D40323">
      <w:pPr>
        <w:pStyle w:val="ListParagraph"/>
        <w:numPr>
          <w:ilvl w:val="0"/>
          <w:numId w:val="19"/>
        </w:numPr>
        <w:tabs>
          <w:tab w:val="left" w:pos="993"/>
        </w:tabs>
        <w:rPr>
          <w:rFonts w:ascii="Arial" w:hAnsi="Arial" w:cs="Arial"/>
          <w:sz w:val="20"/>
          <w:szCs w:val="20"/>
          <w:lang w:eastAsia="en-AU"/>
        </w:rPr>
      </w:pPr>
      <w:r w:rsidRPr="000B0E79">
        <w:rPr>
          <w:rFonts w:ascii="Arial" w:hAnsi="Arial" w:cs="Arial"/>
          <w:sz w:val="20"/>
          <w:szCs w:val="20"/>
          <w:lang w:eastAsia="en-AU"/>
        </w:rPr>
        <w:t>However, this clause ceases to apply to the member if—</w:t>
      </w:r>
    </w:p>
    <w:p w:rsidR="00D40323" w:rsidRPr="000B0E79" w:rsidRDefault="00D40323" w:rsidP="00D40323">
      <w:pPr>
        <w:pStyle w:val="ListParagraph"/>
        <w:numPr>
          <w:ilvl w:val="1"/>
          <w:numId w:val="26"/>
        </w:numPr>
        <w:rPr>
          <w:rFonts w:ascii="Arial" w:hAnsi="Arial" w:cs="Arial"/>
          <w:sz w:val="20"/>
          <w:szCs w:val="20"/>
          <w:lang w:eastAsia="en-AU"/>
        </w:rPr>
      </w:pPr>
      <w:r w:rsidRPr="000B0E79">
        <w:rPr>
          <w:rFonts w:ascii="Arial" w:hAnsi="Arial" w:cs="Arial"/>
          <w:sz w:val="20"/>
          <w:szCs w:val="20"/>
          <w:lang w:eastAsia="en-AU"/>
        </w:rPr>
        <w:t>the member resigns the member’s office by instrument in writing addressed to the Chairperson of the Ministerial Council; or</w:t>
      </w:r>
    </w:p>
    <w:p w:rsidR="00D40323" w:rsidRPr="000B0E79" w:rsidRDefault="00D40323" w:rsidP="00D40323">
      <w:pPr>
        <w:pStyle w:val="ListParagraph"/>
        <w:numPr>
          <w:ilvl w:val="1"/>
          <w:numId w:val="26"/>
        </w:numPr>
        <w:rPr>
          <w:rFonts w:ascii="Arial" w:hAnsi="Arial" w:cs="Arial"/>
          <w:sz w:val="20"/>
          <w:szCs w:val="20"/>
          <w:lang w:eastAsia="en-AU"/>
        </w:rPr>
      </w:pPr>
      <w:proofErr w:type="gramStart"/>
      <w:r w:rsidRPr="000B0E79">
        <w:rPr>
          <w:rFonts w:ascii="Arial" w:hAnsi="Arial" w:cs="Arial"/>
          <w:sz w:val="20"/>
          <w:szCs w:val="20"/>
          <w:lang w:eastAsia="en-AU"/>
        </w:rPr>
        <w:t>the</w:t>
      </w:r>
      <w:proofErr w:type="gramEnd"/>
      <w:r w:rsidRPr="000B0E79">
        <w:rPr>
          <w:rFonts w:ascii="Arial" w:hAnsi="Arial" w:cs="Arial"/>
          <w:sz w:val="20"/>
          <w:szCs w:val="20"/>
          <w:lang w:eastAsia="en-AU"/>
        </w:rPr>
        <w:t xml:space="preserve"> Chairperson of the Ministerial Council determines that the services of the member are no longer required.</w:t>
      </w:r>
    </w:p>
    <w:p w:rsidR="00D40323" w:rsidRPr="000B0E79" w:rsidRDefault="00D40323" w:rsidP="00D40323">
      <w:pPr>
        <w:pStyle w:val="ListParagraph"/>
        <w:numPr>
          <w:ilvl w:val="0"/>
          <w:numId w:val="19"/>
        </w:numPr>
        <w:tabs>
          <w:tab w:val="left" w:pos="993"/>
        </w:tabs>
        <w:rPr>
          <w:rFonts w:ascii="Arial" w:hAnsi="Arial" w:cs="Arial"/>
          <w:sz w:val="20"/>
          <w:szCs w:val="20"/>
          <w:lang w:eastAsia="en-AU"/>
        </w:rPr>
      </w:pPr>
      <w:r>
        <w:rPr>
          <w:rFonts w:ascii="Arial" w:hAnsi="Arial" w:cs="Arial"/>
          <w:sz w:val="20"/>
          <w:szCs w:val="20"/>
          <w:lang w:eastAsia="en-AU"/>
        </w:rPr>
        <w:t xml:space="preserve">(3) </w:t>
      </w:r>
      <w:r w:rsidRPr="000B0E79">
        <w:rPr>
          <w:rFonts w:ascii="Arial" w:hAnsi="Arial" w:cs="Arial"/>
          <w:sz w:val="20"/>
          <w:szCs w:val="20"/>
          <w:lang w:eastAsia="en-AU"/>
        </w:rPr>
        <w:t>The maximum period for which a member is taken to continue to be a member under this clause after completion of the member’s term of office is 6 months.</w:t>
      </w:r>
    </w:p>
    <w:p w:rsidR="00D40323" w:rsidRPr="002F6B9C" w:rsidRDefault="00D40323" w:rsidP="00D40323">
      <w:pPr>
        <w:pStyle w:val="Heading1"/>
        <w:rPr>
          <w:rFonts w:ascii="Arial" w:hAnsi="Arial" w:cs="Arial"/>
          <w:color w:val="007DC3"/>
          <w:sz w:val="20"/>
          <w:szCs w:val="20"/>
        </w:rPr>
      </w:pPr>
      <w:r w:rsidRPr="002F6B9C">
        <w:rPr>
          <w:rFonts w:ascii="Arial" w:hAnsi="Arial" w:cs="Arial"/>
          <w:color w:val="007DC3"/>
          <w:sz w:val="20"/>
          <w:szCs w:val="20"/>
        </w:rPr>
        <w:t>State and Territory Boards</w:t>
      </w:r>
    </w:p>
    <w:p w:rsidR="00D40323" w:rsidRPr="002F6B9C" w:rsidRDefault="00D40323" w:rsidP="00D40323">
      <w:pPr>
        <w:rPr>
          <w:rFonts w:cs="Arial"/>
          <w:sz w:val="20"/>
          <w:szCs w:val="20"/>
        </w:rPr>
      </w:pPr>
      <w:r w:rsidRPr="002F6B9C">
        <w:rPr>
          <w:rFonts w:cs="Arial"/>
          <w:sz w:val="20"/>
          <w:szCs w:val="20"/>
        </w:rPr>
        <w:t>The relevant sections of the National Law relating to State and Territory Boards are:</w:t>
      </w:r>
    </w:p>
    <w:p w:rsidR="00D40323" w:rsidRPr="002F6B9C" w:rsidRDefault="00D40323" w:rsidP="00D40323">
      <w:pPr>
        <w:pStyle w:val="AHPRASubheadinglevel2"/>
      </w:pPr>
      <w:r w:rsidRPr="002F6B9C">
        <w:t xml:space="preserve">36   </w:t>
      </w:r>
      <w:r>
        <w:tab/>
      </w:r>
      <w:r w:rsidRPr="002F6B9C">
        <w:t>State and Territory Boards</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A State or Territory Board is to be known as the “[Name of participating jurisdiction for which it is established] Board” of the National Board.</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The members of a State or Territory Board are to be appointed by the responsible Minister for the participating jurisdiction.</w:t>
      </w:r>
    </w:p>
    <w:p w:rsidR="00D40323" w:rsidRPr="00164712" w:rsidRDefault="00D40323" w:rsidP="00D40323">
      <w:pPr>
        <w:ind w:left="273" w:firstLine="720"/>
        <w:rPr>
          <w:rFonts w:cs="Arial"/>
          <w:sz w:val="20"/>
          <w:szCs w:val="20"/>
          <w:lang w:eastAsia="en-AU"/>
        </w:rPr>
      </w:pPr>
      <w:proofErr w:type="gramStart"/>
      <w:r w:rsidRPr="00164712">
        <w:rPr>
          <w:rFonts w:cs="Arial"/>
          <w:b/>
          <w:sz w:val="20"/>
          <w:szCs w:val="20"/>
          <w:lang w:eastAsia="en-AU"/>
        </w:rPr>
        <w:t>Example</w:t>
      </w:r>
      <w:r w:rsidRPr="00164712">
        <w:rPr>
          <w:rFonts w:cs="Arial"/>
          <w:sz w:val="20"/>
          <w:szCs w:val="20"/>
          <w:lang w:eastAsia="en-AU"/>
        </w:rPr>
        <w:t>.</w:t>
      </w:r>
      <w:proofErr w:type="gramEnd"/>
    </w:p>
    <w:p w:rsidR="00D40323" w:rsidRPr="00164712" w:rsidRDefault="00D40323" w:rsidP="00D40323">
      <w:pPr>
        <w:pStyle w:val="ListParagraph"/>
        <w:numPr>
          <w:ilvl w:val="0"/>
          <w:numId w:val="27"/>
        </w:numPr>
        <w:rPr>
          <w:rFonts w:ascii="Arial" w:hAnsi="Arial" w:cs="Arial"/>
          <w:sz w:val="20"/>
          <w:szCs w:val="20"/>
          <w:lang w:eastAsia="en-AU"/>
        </w:rPr>
      </w:pPr>
      <w:r w:rsidRPr="00164712">
        <w:rPr>
          <w:rFonts w:ascii="Arial" w:hAnsi="Arial" w:cs="Arial"/>
          <w:sz w:val="20"/>
          <w:szCs w:val="20"/>
          <w:lang w:eastAsia="en-AU"/>
        </w:rPr>
        <w:t xml:space="preserve">The </w:t>
      </w:r>
      <w:r>
        <w:rPr>
          <w:rFonts w:ascii="Arial" w:hAnsi="Arial" w:cs="Arial"/>
          <w:sz w:val="20"/>
          <w:szCs w:val="20"/>
          <w:lang w:eastAsia="en-AU"/>
        </w:rPr>
        <w:t xml:space="preserve">Nursing and Midwifery </w:t>
      </w:r>
      <w:r w:rsidRPr="00164712">
        <w:rPr>
          <w:rFonts w:ascii="Arial" w:hAnsi="Arial" w:cs="Arial"/>
          <w:sz w:val="20"/>
          <w:szCs w:val="20"/>
          <w:lang w:eastAsia="en-AU"/>
        </w:rPr>
        <w:t xml:space="preserve">Board of Australia decides to establish a State or Territory Board for New South Wales. The State or Territory Board will be known as the New South Wales Board of the </w:t>
      </w:r>
      <w:r>
        <w:rPr>
          <w:rFonts w:ascii="Arial" w:hAnsi="Arial" w:cs="Arial"/>
          <w:sz w:val="20"/>
          <w:szCs w:val="20"/>
          <w:lang w:eastAsia="en-AU"/>
        </w:rPr>
        <w:t xml:space="preserve">Nursing and Midwifery </w:t>
      </w:r>
      <w:r w:rsidRPr="00164712">
        <w:rPr>
          <w:rFonts w:ascii="Arial" w:hAnsi="Arial" w:cs="Arial"/>
          <w:sz w:val="20"/>
          <w:szCs w:val="20"/>
          <w:lang w:eastAsia="en-AU"/>
        </w:rPr>
        <w:t>Board of Australia. The members of the State or Territory Board will be appointed by the responsible Minister for New South Wales.</w:t>
      </w:r>
    </w:p>
    <w:p w:rsidR="00D40323" w:rsidRPr="00164712" w:rsidRDefault="00D40323" w:rsidP="00D40323">
      <w:pPr>
        <w:pStyle w:val="ListParagraph"/>
        <w:numPr>
          <w:ilvl w:val="0"/>
          <w:numId w:val="27"/>
        </w:numPr>
        <w:rPr>
          <w:rFonts w:ascii="Arial" w:hAnsi="Arial" w:cs="Arial"/>
          <w:sz w:val="20"/>
          <w:szCs w:val="20"/>
          <w:lang w:eastAsia="en-AU"/>
        </w:rPr>
      </w:pPr>
      <w:r w:rsidRPr="00164712">
        <w:rPr>
          <w:rFonts w:ascii="Arial" w:hAnsi="Arial" w:cs="Arial"/>
          <w:sz w:val="20"/>
          <w:szCs w:val="20"/>
          <w:lang w:eastAsia="en-AU"/>
        </w:rPr>
        <w:t xml:space="preserve">The </w:t>
      </w:r>
      <w:r>
        <w:rPr>
          <w:rFonts w:ascii="Arial" w:hAnsi="Arial" w:cs="Arial"/>
          <w:sz w:val="20"/>
          <w:szCs w:val="20"/>
          <w:lang w:eastAsia="en-AU"/>
        </w:rPr>
        <w:t xml:space="preserve">Psychology </w:t>
      </w:r>
      <w:r w:rsidRPr="00164712">
        <w:rPr>
          <w:rFonts w:ascii="Arial" w:hAnsi="Arial" w:cs="Arial"/>
          <w:sz w:val="20"/>
          <w:szCs w:val="20"/>
          <w:lang w:eastAsia="en-AU"/>
        </w:rPr>
        <w:t xml:space="preserve">Board of Australia decides to establish a State or Territory Board for </w:t>
      </w:r>
      <w:r>
        <w:rPr>
          <w:rFonts w:ascii="Arial" w:hAnsi="Arial" w:cs="Arial"/>
          <w:sz w:val="20"/>
          <w:szCs w:val="20"/>
          <w:lang w:eastAsia="en-AU"/>
        </w:rPr>
        <w:t xml:space="preserve">South </w:t>
      </w:r>
      <w:proofErr w:type="gramStart"/>
      <w:r>
        <w:rPr>
          <w:rFonts w:ascii="Arial" w:hAnsi="Arial" w:cs="Arial"/>
          <w:sz w:val="20"/>
          <w:szCs w:val="20"/>
          <w:lang w:eastAsia="en-AU"/>
        </w:rPr>
        <w:t>Australia ,</w:t>
      </w:r>
      <w:proofErr w:type="gramEnd"/>
      <w:r>
        <w:rPr>
          <w:rFonts w:ascii="Arial" w:hAnsi="Arial" w:cs="Arial"/>
          <w:sz w:val="20"/>
          <w:szCs w:val="20"/>
          <w:lang w:eastAsia="en-AU"/>
        </w:rPr>
        <w:t xml:space="preserve"> t</w:t>
      </w:r>
      <w:r w:rsidRPr="00164712">
        <w:rPr>
          <w:rFonts w:ascii="Arial" w:hAnsi="Arial" w:cs="Arial"/>
          <w:sz w:val="20"/>
          <w:szCs w:val="20"/>
          <w:lang w:eastAsia="en-AU"/>
        </w:rPr>
        <w:t>he Northern Territory</w:t>
      </w:r>
      <w:r>
        <w:rPr>
          <w:rFonts w:ascii="Arial" w:hAnsi="Arial" w:cs="Arial"/>
          <w:sz w:val="20"/>
          <w:szCs w:val="20"/>
          <w:lang w:eastAsia="en-AU"/>
        </w:rPr>
        <w:t xml:space="preserve"> and</w:t>
      </w:r>
      <w:r w:rsidRPr="00572753">
        <w:rPr>
          <w:rFonts w:ascii="Arial" w:hAnsi="Arial" w:cs="Arial"/>
          <w:sz w:val="20"/>
          <w:szCs w:val="20"/>
          <w:lang w:eastAsia="en-AU"/>
        </w:rPr>
        <w:t xml:space="preserve"> </w:t>
      </w:r>
      <w:r>
        <w:rPr>
          <w:rFonts w:ascii="Arial" w:hAnsi="Arial" w:cs="Arial"/>
          <w:sz w:val="20"/>
          <w:szCs w:val="20"/>
          <w:lang w:eastAsia="en-AU"/>
        </w:rPr>
        <w:t xml:space="preserve">Western Australia </w:t>
      </w:r>
      <w:r w:rsidRPr="00164712">
        <w:rPr>
          <w:rFonts w:ascii="Arial" w:hAnsi="Arial" w:cs="Arial"/>
          <w:sz w:val="20"/>
          <w:szCs w:val="20"/>
          <w:lang w:eastAsia="en-AU"/>
        </w:rPr>
        <w:t xml:space="preserve">. The State or Territory Board will be known as the </w:t>
      </w:r>
      <w:r>
        <w:rPr>
          <w:rFonts w:ascii="Arial" w:hAnsi="Arial" w:cs="Arial"/>
          <w:sz w:val="20"/>
          <w:szCs w:val="20"/>
          <w:lang w:eastAsia="en-AU"/>
        </w:rPr>
        <w:t xml:space="preserve">Northern Territory, South Australia and Western Australia Regional Board </w:t>
      </w:r>
      <w:r w:rsidRPr="00164712">
        <w:rPr>
          <w:rFonts w:ascii="Arial" w:hAnsi="Arial" w:cs="Arial"/>
          <w:sz w:val="20"/>
          <w:szCs w:val="20"/>
          <w:lang w:eastAsia="en-AU"/>
        </w:rPr>
        <w:t>of the P</w:t>
      </w:r>
      <w:r>
        <w:rPr>
          <w:rFonts w:ascii="Arial" w:hAnsi="Arial" w:cs="Arial"/>
          <w:sz w:val="20"/>
          <w:szCs w:val="20"/>
          <w:lang w:eastAsia="en-AU"/>
        </w:rPr>
        <w:t xml:space="preserve">sychology </w:t>
      </w:r>
      <w:r w:rsidRPr="00164712">
        <w:rPr>
          <w:rFonts w:ascii="Arial" w:hAnsi="Arial" w:cs="Arial"/>
          <w:sz w:val="20"/>
          <w:szCs w:val="20"/>
          <w:lang w:eastAsia="en-AU"/>
        </w:rPr>
        <w:t xml:space="preserve">Board of Australia. The members of the State or Territory Board will be appointed jointly by the responsible Ministers for </w:t>
      </w:r>
      <w:r>
        <w:rPr>
          <w:rFonts w:ascii="Arial" w:hAnsi="Arial" w:cs="Arial"/>
          <w:sz w:val="20"/>
          <w:szCs w:val="20"/>
          <w:lang w:eastAsia="en-AU"/>
        </w:rPr>
        <w:t>the Northern Territory, South Australia and Western Australia</w:t>
      </w:r>
      <w:r w:rsidRPr="00164712">
        <w:rPr>
          <w:rFonts w:ascii="Arial" w:hAnsi="Arial" w:cs="Arial"/>
          <w:sz w:val="20"/>
          <w:szCs w:val="20"/>
          <w:lang w:eastAsia="en-AU"/>
        </w:rPr>
        <w:t>.</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In deciding whether to appoint a person as a member of a State or Territory Board, the responsible Minister is to have regard to the skills and experience of the person that are relevant to the Board’s functions.</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At least half, but not more than two-thirds, of the members of a State or Territory Board must be persons appointed as practitioner members.</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At least 2 of the members of a State or Territory Board must be persons appointed as community members.</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Before a responsible Minister appoints a member of a State or Territory Board the vacancy to be filled is to be publicly advertised.</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The National Agency may assist a responsible Minister in the process of appointing members of a State or Territory Board, including in the advertising of vacancies.</w:t>
      </w:r>
    </w:p>
    <w:p w:rsidR="00D40323" w:rsidRPr="00D40323" w:rsidRDefault="00D40323" w:rsidP="00D40323">
      <w:pPr>
        <w:numPr>
          <w:ilvl w:val="0"/>
          <w:numId w:val="25"/>
        </w:numPr>
        <w:spacing w:line="276" w:lineRule="auto"/>
        <w:rPr>
          <w:rFonts w:cs="Arial"/>
          <w:sz w:val="20"/>
          <w:szCs w:val="20"/>
          <w:lang w:eastAsia="en-AU"/>
        </w:rPr>
      </w:pPr>
      <w:r w:rsidRPr="00D40323">
        <w:rPr>
          <w:rFonts w:cs="Arial"/>
          <w:sz w:val="20"/>
          <w:szCs w:val="20"/>
          <w:lang w:eastAsia="en-AU"/>
        </w:rPr>
        <w:t>It is not necessary to advertise a vacancy in the membership of a State or Territory Board before appointing a person to act in the office of a member.</w:t>
      </w:r>
    </w:p>
    <w:p w:rsidR="00D40323" w:rsidRPr="00D40323" w:rsidRDefault="00D40323" w:rsidP="00D40323">
      <w:pPr>
        <w:pStyle w:val="AHPRAbody"/>
        <w:rPr>
          <w:b/>
          <w:lang w:eastAsia="en-AU"/>
        </w:rPr>
      </w:pPr>
      <w:r w:rsidRPr="00D40323">
        <w:rPr>
          <w:b/>
          <w:lang w:eastAsia="en-AU"/>
        </w:rPr>
        <w:t>Note.</w:t>
      </w:r>
    </w:p>
    <w:p w:rsidR="00D40323" w:rsidRPr="00164712" w:rsidRDefault="00D40323" w:rsidP="00D40323">
      <w:pPr>
        <w:pStyle w:val="AHPRAbody"/>
        <w:rPr>
          <w:lang w:eastAsia="en-AU"/>
        </w:rPr>
      </w:pPr>
      <w:r w:rsidRPr="00164712">
        <w:rPr>
          <w:lang w:eastAsia="en-AU"/>
        </w:rPr>
        <w:t>The general interpretation provisions applicable to this Law under section 6 confer power to appoint acting members of a State or Territory Board.</w:t>
      </w:r>
    </w:p>
    <w:p w:rsidR="00D40323" w:rsidRPr="00490CAF" w:rsidRDefault="00D40323" w:rsidP="00D40323">
      <w:pPr>
        <w:rPr>
          <w:rFonts w:cs="Arial"/>
          <w:sz w:val="20"/>
          <w:szCs w:val="20"/>
        </w:rPr>
      </w:pPr>
      <w:r w:rsidRPr="00490CAF">
        <w:rPr>
          <w:rFonts w:cs="Arial"/>
          <w:sz w:val="20"/>
          <w:szCs w:val="20"/>
        </w:rPr>
        <w:t>The following clauses in Schedule 7 of the National Law are relevant to the appointment of all board members:</w:t>
      </w:r>
    </w:p>
    <w:p w:rsidR="00D40323" w:rsidRPr="002F6B9C" w:rsidRDefault="00D40323" w:rsidP="00D40323">
      <w:pPr>
        <w:pStyle w:val="AHPRASubheadinglevel2"/>
      </w:pPr>
      <w:r w:rsidRPr="002F6B9C">
        <w:t xml:space="preserve">27 </w:t>
      </w:r>
      <w:r>
        <w:tab/>
      </w:r>
      <w:r w:rsidRPr="002F6B9C">
        <w:t>Acting appointments</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If this Law authorises a person or body to appoint a person to act in an office, the person or body may, in accordance with this Law, appoint—</w:t>
      </w:r>
    </w:p>
    <w:p w:rsidR="00D40323" w:rsidRPr="00164712" w:rsidRDefault="00D40323" w:rsidP="00D40323">
      <w:pPr>
        <w:pStyle w:val="ListParagraph"/>
        <w:numPr>
          <w:ilvl w:val="0"/>
          <w:numId w:val="38"/>
        </w:numPr>
        <w:tabs>
          <w:tab w:val="left" w:pos="993"/>
        </w:tabs>
        <w:spacing w:after="120" w:line="360" w:lineRule="auto"/>
        <w:rPr>
          <w:rFonts w:ascii="Arial" w:hAnsi="Arial" w:cs="Arial"/>
          <w:sz w:val="20"/>
          <w:szCs w:val="20"/>
          <w:lang w:eastAsia="en-AU"/>
        </w:rPr>
      </w:pPr>
      <w:r w:rsidRPr="00164712">
        <w:rPr>
          <w:rFonts w:ascii="Arial" w:hAnsi="Arial" w:cs="Arial"/>
          <w:sz w:val="20"/>
          <w:szCs w:val="20"/>
          <w:lang w:eastAsia="en-AU"/>
        </w:rPr>
        <w:t xml:space="preserve">a person by name; or </w:t>
      </w:r>
    </w:p>
    <w:p w:rsidR="00D40323" w:rsidRPr="00164712" w:rsidRDefault="00D40323" w:rsidP="00D40323">
      <w:pPr>
        <w:pStyle w:val="ListParagraph"/>
        <w:numPr>
          <w:ilvl w:val="0"/>
          <w:numId w:val="38"/>
        </w:numPr>
        <w:tabs>
          <w:tab w:val="left" w:pos="993"/>
        </w:tabs>
        <w:spacing w:after="120" w:line="360" w:lineRule="auto"/>
        <w:rPr>
          <w:rFonts w:ascii="Arial" w:hAnsi="Arial" w:cs="Arial"/>
          <w:sz w:val="20"/>
          <w:szCs w:val="20"/>
          <w:lang w:eastAsia="en-AU"/>
        </w:rPr>
      </w:pPr>
      <w:r w:rsidRPr="00164712">
        <w:rPr>
          <w:rFonts w:ascii="Arial" w:hAnsi="Arial" w:cs="Arial"/>
          <w:sz w:val="20"/>
          <w:szCs w:val="20"/>
          <w:lang w:eastAsia="en-AU"/>
        </w:rPr>
        <w:t>a particular officer, or the holder of a particular office, by reference to the title of the office concerned;</w:t>
      </w:r>
    </w:p>
    <w:p w:rsidR="00D40323" w:rsidRPr="00164712" w:rsidRDefault="00D40323" w:rsidP="00D40323">
      <w:pPr>
        <w:spacing w:line="276" w:lineRule="auto"/>
        <w:ind w:left="720"/>
        <w:rPr>
          <w:rFonts w:cs="Arial"/>
          <w:sz w:val="20"/>
          <w:szCs w:val="20"/>
          <w:lang w:eastAsia="en-AU"/>
        </w:rPr>
      </w:pPr>
      <w:proofErr w:type="gramStart"/>
      <w:r w:rsidRPr="00164712">
        <w:rPr>
          <w:rFonts w:cs="Arial"/>
          <w:sz w:val="20"/>
          <w:szCs w:val="20"/>
          <w:lang w:eastAsia="en-AU"/>
        </w:rPr>
        <w:t>to</w:t>
      </w:r>
      <w:proofErr w:type="gramEnd"/>
      <w:r w:rsidRPr="00164712">
        <w:rPr>
          <w:rFonts w:cs="Arial"/>
          <w:sz w:val="20"/>
          <w:szCs w:val="20"/>
          <w:lang w:eastAsia="en-AU"/>
        </w:rPr>
        <w:t xml:space="preserve"> act in the office.</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The appointment may be expressed to have effect only in the circumstances specified in the instrument of appointment.</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The appointer may—</w:t>
      </w:r>
    </w:p>
    <w:p w:rsidR="00D40323" w:rsidRPr="00164712" w:rsidRDefault="00D40323" w:rsidP="00D40323">
      <w:pPr>
        <w:numPr>
          <w:ilvl w:val="1"/>
          <w:numId w:val="30"/>
        </w:numPr>
        <w:spacing w:line="276" w:lineRule="auto"/>
        <w:rPr>
          <w:rFonts w:cs="Arial"/>
          <w:sz w:val="20"/>
          <w:szCs w:val="20"/>
          <w:lang w:eastAsia="en-AU"/>
        </w:rPr>
      </w:pPr>
      <w:r w:rsidRPr="00164712">
        <w:rPr>
          <w:rFonts w:cs="Arial"/>
          <w:sz w:val="20"/>
          <w:szCs w:val="20"/>
          <w:lang w:eastAsia="en-AU"/>
        </w:rPr>
        <w:t>determine the terms and conditions of the appointment, including remuneration and allowances; and</w:t>
      </w:r>
    </w:p>
    <w:p w:rsidR="00D40323" w:rsidRPr="00164712" w:rsidRDefault="00D40323" w:rsidP="00D40323">
      <w:pPr>
        <w:numPr>
          <w:ilvl w:val="1"/>
          <w:numId w:val="30"/>
        </w:numPr>
        <w:spacing w:line="276" w:lineRule="auto"/>
        <w:rPr>
          <w:rFonts w:cs="Arial"/>
          <w:sz w:val="20"/>
          <w:szCs w:val="20"/>
          <w:lang w:eastAsia="en-AU"/>
        </w:rPr>
      </w:pPr>
      <w:proofErr w:type="gramStart"/>
      <w:r w:rsidRPr="00164712">
        <w:rPr>
          <w:rFonts w:cs="Arial"/>
          <w:sz w:val="20"/>
          <w:szCs w:val="20"/>
          <w:lang w:eastAsia="en-AU"/>
        </w:rPr>
        <w:t>terminate</w:t>
      </w:r>
      <w:proofErr w:type="gramEnd"/>
      <w:r w:rsidRPr="00164712">
        <w:rPr>
          <w:rFonts w:cs="Arial"/>
          <w:sz w:val="20"/>
          <w:szCs w:val="20"/>
          <w:lang w:eastAsia="en-AU"/>
        </w:rPr>
        <w:t xml:space="preserve"> the appointment at any time.</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The appointment, or the termination of the appointment, must be in, or evidenced by, writing signed by the appointer.</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The appointee must not act for more than 1 year during a vacancy in the office.</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If the appointee is acting in the office otherwise than because of a vacancy in the office and the office becomes vacant, then, subject to subclause (2), the appointee may continue to act until—</w:t>
      </w:r>
    </w:p>
    <w:p w:rsidR="00D40323" w:rsidRPr="00164712" w:rsidRDefault="00D40323" w:rsidP="00D40323">
      <w:pPr>
        <w:numPr>
          <w:ilvl w:val="1"/>
          <w:numId w:val="31"/>
        </w:numPr>
        <w:spacing w:line="276" w:lineRule="auto"/>
        <w:rPr>
          <w:rFonts w:cs="Arial"/>
          <w:sz w:val="20"/>
          <w:szCs w:val="20"/>
          <w:lang w:eastAsia="en-AU"/>
        </w:rPr>
      </w:pPr>
      <w:r w:rsidRPr="00164712">
        <w:rPr>
          <w:rFonts w:cs="Arial"/>
          <w:sz w:val="20"/>
          <w:szCs w:val="20"/>
          <w:lang w:eastAsia="en-AU"/>
        </w:rPr>
        <w:t>the appointer otherwise directs; or</w:t>
      </w:r>
    </w:p>
    <w:p w:rsidR="00D40323" w:rsidRPr="00164712" w:rsidRDefault="00D40323" w:rsidP="00D40323">
      <w:pPr>
        <w:numPr>
          <w:ilvl w:val="1"/>
          <w:numId w:val="31"/>
        </w:numPr>
        <w:spacing w:line="276" w:lineRule="auto"/>
        <w:rPr>
          <w:rFonts w:cs="Arial"/>
          <w:sz w:val="20"/>
          <w:szCs w:val="20"/>
          <w:lang w:eastAsia="en-AU"/>
        </w:rPr>
      </w:pPr>
      <w:r w:rsidRPr="00164712">
        <w:rPr>
          <w:rFonts w:cs="Arial"/>
          <w:sz w:val="20"/>
          <w:szCs w:val="20"/>
          <w:lang w:eastAsia="en-AU"/>
        </w:rPr>
        <w:t>the vacancy is filled; or</w:t>
      </w:r>
    </w:p>
    <w:p w:rsidR="00D40323" w:rsidRPr="00164712" w:rsidRDefault="00D40323" w:rsidP="00D40323">
      <w:pPr>
        <w:numPr>
          <w:ilvl w:val="1"/>
          <w:numId w:val="31"/>
        </w:numPr>
        <w:spacing w:line="276" w:lineRule="auto"/>
        <w:rPr>
          <w:rFonts w:cs="Arial"/>
          <w:sz w:val="20"/>
          <w:szCs w:val="20"/>
          <w:lang w:eastAsia="en-AU"/>
        </w:rPr>
      </w:pPr>
      <w:r w:rsidRPr="00164712">
        <w:rPr>
          <w:rFonts w:cs="Arial"/>
          <w:sz w:val="20"/>
          <w:szCs w:val="20"/>
          <w:lang w:eastAsia="en-AU"/>
        </w:rPr>
        <w:t>the end of a year from the day of the vacancy;</w:t>
      </w:r>
    </w:p>
    <w:p w:rsidR="00D40323" w:rsidRPr="00164712" w:rsidRDefault="00D40323" w:rsidP="00D40323">
      <w:pPr>
        <w:spacing w:line="276" w:lineRule="auto"/>
        <w:ind w:left="720"/>
        <w:rPr>
          <w:rFonts w:cs="Arial"/>
          <w:sz w:val="20"/>
          <w:szCs w:val="20"/>
          <w:lang w:eastAsia="en-AU"/>
        </w:rPr>
      </w:pPr>
      <w:proofErr w:type="gramStart"/>
      <w:r w:rsidRPr="00164712">
        <w:rPr>
          <w:rFonts w:cs="Arial"/>
          <w:sz w:val="20"/>
          <w:szCs w:val="20"/>
          <w:lang w:eastAsia="en-AU"/>
        </w:rPr>
        <w:t>whichever</w:t>
      </w:r>
      <w:proofErr w:type="gramEnd"/>
      <w:r w:rsidRPr="00164712">
        <w:rPr>
          <w:rFonts w:cs="Arial"/>
          <w:sz w:val="20"/>
          <w:szCs w:val="20"/>
          <w:lang w:eastAsia="en-AU"/>
        </w:rPr>
        <w:t xml:space="preserve"> happens first.</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The appointment ceases to have effect if the appointee resigns by writing signed and delivered to the appointer.</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While the appointee is acting in the office—</w:t>
      </w:r>
    </w:p>
    <w:p w:rsidR="00D40323" w:rsidRPr="00164712" w:rsidRDefault="00D40323" w:rsidP="00D40323">
      <w:pPr>
        <w:numPr>
          <w:ilvl w:val="1"/>
          <w:numId w:val="32"/>
        </w:numPr>
        <w:spacing w:line="276" w:lineRule="auto"/>
        <w:rPr>
          <w:rFonts w:cs="Arial"/>
          <w:sz w:val="20"/>
          <w:szCs w:val="20"/>
          <w:lang w:eastAsia="en-AU"/>
        </w:rPr>
      </w:pPr>
      <w:r w:rsidRPr="00164712">
        <w:rPr>
          <w:rFonts w:cs="Arial"/>
          <w:sz w:val="20"/>
          <w:szCs w:val="20"/>
          <w:lang w:eastAsia="en-AU"/>
        </w:rPr>
        <w:t>he appointee has all the powers and functions of the holder of the office; and</w:t>
      </w:r>
    </w:p>
    <w:p w:rsidR="00D40323" w:rsidRPr="00164712" w:rsidRDefault="00D40323" w:rsidP="00D40323">
      <w:pPr>
        <w:numPr>
          <w:ilvl w:val="1"/>
          <w:numId w:val="32"/>
        </w:numPr>
        <w:spacing w:line="276" w:lineRule="auto"/>
        <w:rPr>
          <w:rFonts w:cs="Arial"/>
          <w:sz w:val="20"/>
          <w:szCs w:val="20"/>
          <w:lang w:eastAsia="en-AU"/>
        </w:rPr>
      </w:pPr>
      <w:proofErr w:type="gramStart"/>
      <w:r w:rsidRPr="00164712">
        <w:rPr>
          <w:rFonts w:cs="Arial"/>
          <w:sz w:val="20"/>
          <w:szCs w:val="20"/>
          <w:lang w:eastAsia="en-AU"/>
        </w:rPr>
        <w:t>this</w:t>
      </w:r>
      <w:proofErr w:type="gramEnd"/>
      <w:r w:rsidRPr="00164712">
        <w:rPr>
          <w:rFonts w:cs="Arial"/>
          <w:sz w:val="20"/>
          <w:szCs w:val="20"/>
          <w:lang w:eastAsia="en-AU"/>
        </w:rPr>
        <w:t xml:space="preserve"> Law and other laws apply to the appointee as if the appointee were the holder of the office.</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Anything done by or in relation to a person purporting to act in the office is not invalid merely because—</w:t>
      </w:r>
    </w:p>
    <w:p w:rsidR="00D40323" w:rsidRPr="00164712" w:rsidRDefault="00D40323" w:rsidP="00D40323">
      <w:pPr>
        <w:numPr>
          <w:ilvl w:val="0"/>
          <w:numId w:val="34"/>
        </w:numPr>
        <w:spacing w:line="276" w:lineRule="auto"/>
        <w:rPr>
          <w:rFonts w:cs="Arial"/>
          <w:sz w:val="20"/>
          <w:szCs w:val="20"/>
          <w:lang w:eastAsia="en-AU"/>
        </w:rPr>
      </w:pPr>
      <w:r w:rsidRPr="00164712">
        <w:rPr>
          <w:rFonts w:cs="Arial"/>
          <w:sz w:val="20"/>
          <w:szCs w:val="20"/>
          <w:lang w:eastAsia="en-AU"/>
        </w:rPr>
        <w:t>the occasion for the appointment had not arisen; or</w:t>
      </w:r>
    </w:p>
    <w:p w:rsidR="00D40323" w:rsidRPr="00164712" w:rsidRDefault="00D40323" w:rsidP="00D40323">
      <w:pPr>
        <w:numPr>
          <w:ilvl w:val="0"/>
          <w:numId w:val="34"/>
        </w:numPr>
        <w:spacing w:line="276" w:lineRule="auto"/>
        <w:rPr>
          <w:rFonts w:cs="Arial"/>
          <w:sz w:val="20"/>
          <w:szCs w:val="20"/>
          <w:lang w:eastAsia="en-AU"/>
        </w:rPr>
      </w:pPr>
      <w:r w:rsidRPr="00164712">
        <w:rPr>
          <w:rFonts w:cs="Arial"/>
          <w:sz w:val="20"/>
          <w:szCs w:val="20"/>
          <w:lang w:eastAsia="en-AU"/>
        </w:rPr>
        <w:t>the appointment had ceased to have effect; or</w:t>
      </w:r>
    </w:p>
    <w:p w:rsidR="00D40323" w:rsidRPr="00164712" w:rsidRDefault="00D40323" w:rsidP="00D40323">
      <w:pPr>
        <w:numPr>
          <w:ilvl w:val="0"/>
          <w:numId w:val="34"/>
        </w:numPr>
        <w:spacing w:line="276" w:lineRule="auto"/>
        <w:rPr>
          <w:rFonts w:cs="Arial"/>
          <w:sz w:val="20"/>
          <w:szCs w:val="20"/>
          <w:lang w:eastAsia="en-AU"/>
        </w:rPr>
      </w:pPr>
      <w:proofErr w:type="gramStart"/>
      <w:r w:rsidRPr="00164712">
        <w:rPr>
          <w:rFonts w:cs="Arial"/>
          <w:sz w:val="20"/>
          <w:szCs w:val="20"/>
          <w:lang w:eastAsia="en-AU"/>
        </w:rPr>
        <w:t>the</w:t>
      </w:r>
      <w:proofErr w:type="gramEnd"/>
      <w:r w:rsidRPr="00164712">
        <w:rPr>
          <w:rFonts w:cs="Arial"/>
          <w:sz w:val="20"/>
          <w:szCs w:val="20"/>
          <w:lang w:eastAsia="en-AU"/>
        </w:rPr>
        <w:t xml:space="preserve"> occasion for the person to act had not arisen or had ceased.</w:t>
      </w:r>
    </w:p>
    <w:p w:rsidR="00D40323" w:rsidRPr="00164712" w:rsidRDefault="00D40323" w:rsidP="00D40323">
      <w:pPr>
        <w:numPr>
          <w:ilvl w:val="0"/>
          <w:numId w:val="28"/>
        </w:numPr>
        <w:spacing w:line="276" w:lineRule="auto"/>
        <w:rPr>
          <w:rFonts w:cs="Arial"/>
          <w:sz w:val="20"/>
          <w:szCs w:val="20"/>
          <w:lang w:eastAsia="en-AU"/>
        </w:rPr>
      </w:pPr>
      <w:r w:rsidRPr="00164712">
        <w:rPr>
          <w:rFonts w:cs="Arial"/>
          <w:sz w:val="20"/>
          <w:szCs w:val="20"/>
          <w:lang w:eastAsia="en-AU"/>
        </w:rPr>
        <w:t>If this Law authorises the appointer to appoint a person to act during a vacancy in the office, an appointment to act in the office may be made by the appointer whether or not an appointment has previously been made to the office.</w:t>
      </w:r>
    </w:p>
    <w:p w:rsidR="00D40323" w:rsidRPr="002F6B9C" w:rsidRDefault="00D40323" w:rsidP="002B436A">
      <w:pPr>
        <w:pStyle w:val="AHPRASubheadinglevel2"/>
      </w:pPr>
      <w:r w:rsidRPr="002F6B9C">
        <w:t xml:space="preserve">28 </w:t>
      </w:r>
      <w:r>
        <w:tab/>
      </w:r>
      <w:r w:rsidRPr="002F6B9C">
        <w:t>Powers of appointment imply certain incidental powers</w:t>
      </w:r>
    </w:p>
    <w:p w:rsidR="00D40323" w:rsidRPr="00164712" w:rsidRDefault="00D40323" w:rsidP="00D40323">
      <w:pPr>
        <w:numPr>
          <w:ilvl w:val="0"/>
          <w:numId w:val="35"/>
        </w:numPr>
        <w:spacing w:line="276" w:lineRule="auto"/>
        <w:rPr>
          <w:rFonts w:cs="Arial"/>
          <w:sz w:val="20"/>
          <w:szCs w:val="20"/>
          <w:lang w:eastAsia="en-AU"/>
        </w:rPr>
      </w:pPr>
      <w:r w:rsidRPr="00164712">
        <w:rPr>
          <w:rFonts w:cs="Arial"/>
          <w:sz w:val="20"/>
          <w:szCs w:val="20"/>
          <w:lang w:eastAsia="en-AU"/>
        </w:rPr>
        <w:t>If this Law authorises or requires a person or body to appoint a person to an office—</w:t>
      </w:r>
    </w:p>
    <w:p w:rsidR="00D40323" w:rsidRPr="00164712" w:rsidRDefault="00D40323" w:rsidP="00D40323">
      <w:pPr>
        <w:numPr>
          <w:ilvl w:val="0"/>
          <w:numId w:val="36"/>
        </w:numPr>
        <w:spacing w:line="276" w:lineRule="auto"/>
        <w:rPr>
          <w:rFonts w:cs="Arial"/>
          <w:sz w:val="20"/>
          <w:szCs w:val="20"/>
          <w:lang w:eastAsia="en-AU"/>
        </w:rPr>
      </w:pPr>
      <w:r w:rsidRPr="00164712">
        <w:rPr>
          <w:rFonts w:cs="Arial"/>
          <w:sz w:val="20"/>
          <w:szCs w:val="20"/>
          <w:lang w:eastAsia="en-AU"/>
        </w:rPr>
        <w:t>the power may be exercised from time to time as occasion requires; and</w:t>
      </w:r>
    </w:p>
    <w:p w:rsidR="00D40323" w:rsidRPr="00164712" w:rsidRDefault="00D40323" w:rsidP="00D40323">
      <w:pPr>
        <w:numPr>
          <w:ilvl w:val="0"/>
          <w:numId w:val="36"/>
        </w:numPr>
        <w:spacing w:line="276" w:lineRule="auto"/>
        <w:rPr>
          <w:rFonts w:cs="Arial"/>
          <w:sz w:val="20"/>
          <w:szCs w:val="20"/>
          <w:lang w:eastAsia="en-AU"/>
        </w:rPr>
      </w:pPr>
      <w:r w:rsidRPr="00164712">
        <w:rPr>
          <w:rFonts w:cs="Arial"/>
          <w:sz w:val="20"/>
          <w:szCs w:val="20"/>
          <w:lang w:eastAsia="en-AU"/>
        </w:rPr>
        <w:t>the power includes—</w:t>
      </w:r>
    </w:p>
    <w:p w:rsidR="00D40323" w:rsidRPr="00164712" w:rsidRDefault="00D40323" w:rsidP="00D40323">
      <w:pPr>
        <w:numPr>
          <w:ilvl w:val="1"/>
          <w:numId w:val="37"/>
        </w:numPr>
        <w:spacing w:line="276" w:lineRule="auto"/>
        <w:rPr>
          <w:rFonts w:cs="Arial"/>
          <w:sz w:val="20"/>
          <w:szCs w:val="20"/>
          <w:lang w:eastAsia="en-AU"/>
        </w:rPr>
      </w:pPr>
      <w:r w:rsidRPr="00164712">
        <w:rPr>
          <w:rFonts w:cs="Arial"/>
          <w:sz w:val="20"/>
          <w:szCs w:val="20"/>
          <w:lang w:eastAsia="en-AU"/>
        </w:rPr>
        <w:t>power to remove or suspend, at any time, a person appointed to the office; and</w:t>
      </w:r>
    </w:p>
    <w:p w:rsidR="00D40323" w:rsidRPr="00164712" w:rsidRDefault="00D40323" w:rsidP="00D40323">
      <w:pPr>
        <w:numPr>
          <w:ilvl w:val="1"/>
          <w:numId w:val="37"/>
        </w:numPr>
        <w:spacing w:line="276" w:lineRule="auto"/>
        <w:rPr>
          <w:rFonts w:cs="Arial"/>
          <w:sz w:val="20"/>
          <w:szCs w:val="20"/>
          <w:lang w:eastAsia="en-AU"/>
        </w:rPr>
      </w:pPr>
      <w:r w:rsidRPr="00164712">
        <w:rPr>
          <w:rFonts w:cs="Arial"/>
          <w:sz w:val="20"/>
          <w:szCs w:val="20"/>
          <w:lang w:eastAsia="en-AU"/>
        </w:rPr>
        <w:t>power to appoint another person to act in the office if a person appointed to the office is removed or suspended; and</w:t>
      </w:r>
    </w:p>
    <w:p w:rsidR="00D40323" w:rsidRPr="00164712" w:rsidRDefault="00D40323" w:rsidP="00D40323">
      <w:pPr>
        <w:numPr>
          <w:ilvl w:val="1"/>
          <w:numId w:val="37"/>
        </w:numPr>
        <w:spacing w:line="276" w:lineRule="auto"/>
        <w:rPr>
          <w:rFonts w:cs="Arial"/>
          <w:sz w:val="20"/>
          <w:szCs w:val="20"/>
          <w:lang w:eastAsia="en-AU"/>
        </w:rPr>
      </w:pPr>
      <w:r w:rsidRPr="00164712">
        <w:rPr>
          <w:rFonts w:cs="Arial"/>
          <w:sz w:val="20"/>
          <w:szCs w:val="20"/>
          <w:lang w:eastAsia="en-AU"/>
        </w:rPr>
        <w:t>power to reinstate or reappoint a person removed or suspended; and</w:t>
      </w:r>
    </w:p>
    <w:p w:rsidR="00D40323" w:rsidRPr="00164712" w:rsidRDefault="00D40323" w:rsidP="00D40323">
      <w:pPr>
        <w:numPr>
          <w:ilvl w:val="1"/>
          <w:numId w:val="37"/>
        </w:numPr>
        <w:spacing w:line="276" w:lineRule="auto"/>
        <w:rPr>
          <w:rFonts w:cs="Arial"/>
          <w:sz w:val="20"/>
          <w:szCs w:val="20"/>
          <w:lang w:eastAsia="en-AU"/>
        </w:rPr>
      </w:pPr>
      <w:r w:rsidRPr="00164712">
        <w:rPr>
          <w:rFonts w:cs="Arial"/>
          <w:sz w:val="20"/>
          <w:szCs w:val="20"/>
          <w:lang w:eastAsia="en-AU"/>
        </w:rPr>
        <w:t>power to appoint a person to act in the office if it is vacant (whether or not the office has ever been filled);  and</w:t>
      </w:r>
    </w:p>
    <w:p w:rsidR="00D40323" w:rsidRPr="00164712" w:rsidRDefault="00D40323" w:rsidP="00D40323">
      <w:pPr>
        <w:numPr>
          <w:ilvl w:val="1"/>
          <w:numId w:val="37"/>
        </w:numPr>
        <w:spacing w:line="276" w:lineRule="auto"/>
        <w:rPr>
          <w:rFonts w:cs="Arial"/>
          <w:sz w:val="20"/>
          <w:szCs w:val="20"/>
          <w:lang w:eastAsia="en-AU"/>
        </w:rPr>
      </w:pPr>
      <w:proofErr w:type="gramStart"/>
      <w:r w:rsidRPr="00164712">
        <w:rPr>
          <w:rFonts w:cs="Arial"/>
          <w:sz w:val="20"/>
          <w:szCs w:val="20"/>
          <w:lang w:eastAsia="en-AU"/>
        </w:rPr>
        <w:t>power</w:t>
      </w:r>
      <w:proofErr w:type="gramEnd"/>
      <w:r w:rsidRPr="00164712">
        <w:rPr>
          <w:rFonts w:cs="Arial"/>
          <w:sz w:val="20"/>
          <w:szCs w:val="20"/>
          <w:lang w:eastAsia="en-AU"/>
        </w:rPr>
        <w:t xml:space="preserve"> to appoint a person to act in the office if the person appointed to the office is absent or is unable to discharge the functions of the office (whether because of illness or otherwise).</w:t>
      </w:r>
    </w:p>
    <w:p w:rsidR="00D40323" w:rsidRPr="00164712" w:rsidRDefault="00D40323" w:rsidP="00D40323">
      <w:pPr>
        <w:numPr>
          <w:ilvl w:val="0"/>
          <w:numId w:val="35"/>
        </w:numPr>
        <w:spacing w:line="276" w:lineRule="auto"/>
        <w:rPr>
          <w:rFonts w:cs="Arial"/>
          <w:sz w:val="20"/>
          <w:szCs w:val="20"/>
          <w:lang w:eastAsia="en-AU"/>
        </w:rPr>
      </w:pPr>
      <w:r w:rsidRPr="00164712">
        <w:rPr>
          <w:rFonts w:cs="Arial"/>
          <w:sz w:val="20"/>
          <w:szCs w:val="20"/>
          <w:lang w:eastAsia="en-AU"/>
        </w:rPr>
        <w:t>The power to remove or suspend a person under subclause (1</w:t>
      </w:r>
      <w:proofErr w:type="gramStart"/>
      <w:r w:rsidRPr="00164712">
        <w:rPr>
          <w:rFonts w:cs="Arial"/>
          <w:sz w:val="20"/>
          <w:szCs w:val="20"/>
          <w:lang w:eastAsia="en-AU"/>
        </w:rPr>
        <w:t>)(</w:t>
      </w:r>
      <w:proofErr w:type="gramEnd"/>
      <w:r w:rsidRPr="00164712">
        <w:rPr>
          <w:rFonts w:cs="Arial"/>
          <w:sz w:val="20"/>
          <w:szCs w:val="20"/>
          <w:lang w:eastAsia="en-AU"/>
        </w:rPr>
        <w:t>b) may be exercised even if this Law provides that the holder of the office to which the person was appointed is to hold office for a specified period.</w:t>
      </w:r>
    </w:p>
    <w:p w:rsidR="00D40323" w:rsidRPr="00164712" w:rsidRDefault="00D40323" w:rsidP="00D40323">
      <w:pPr>
        <w:numPr>
          <w:ilvl w:val="0"/>
          <w:numId w:val="35"/>
        </w:numPr>
        <w:spacing w:line="276" w:lineRule="auto"/>
        <w:rPr>
          <w:rFonts w:cs="Arial"/>
          <w:sz w:val="20"/>
          <w:szCs w:val="20"/>
          <w:lang w:eastAsia="en-AU"/>
        </w:rPr>
      </w:pPr>
      <w:r w:rsidRPr="00164712">
        <w:rPr>
          <w:rFonts w:cs="Arial"/>
          <w:sz w:val="20"/>
          <w:szCs w:val="20"/>
          <w:lang w:eastAsia="en-AU"/>
        </w:rPr>
        <w:t>The power to make an appointment under subclause (1</w:t>
      </w:r>
      <w:proofErr w:type="gramStart"/>
      <w:r w:rsidRPr="00164712">
        <w:rPr>
          <w:rFonts w:cs="Arial"/>
          <w:sz w:val="20"/>
          <w:szCs w:val="20"/>
          <w:lang w:eastAsia="en-AU"/>
        </w:rPr>
        <w:t>)(</w:t>
      </w:r>
      <w:proofErr w:type="gramEnd"/>
      <w:r w:rsidRPr="00164712">
        <w:rPr>
          <w:rFonts w:cs="Arial"/>
          <w:sz w:val="20"/>
          <w:szCs w:val="20"/>
          <w:lang w:eastAsia="en-AU"/>
        </w:rPr>
        <w:t>b) may be exercised from time to time as occasion requires.</w:t>
      </w:r>
    </w:p>
    <w:p w:rsidR="00D40323" w:rsidRPr="00D40323" w:rsidRDefault="00D40323" w:rsidP="00D40323">
      <w:pPr>
        <w:numPr>
          <w:ilvl w:val="0"/>
          <w:numId w:val="35"/>
        </w:numPr>
        <w:spacing w:line="276" w:lineRule="auto"/>
        <w:rPr>
          <w:rFonts w:cs="Arial"/>
          <w:sz w:val="20"/>
          <w:szCs w:val="20"/>
          <w:lang w:eastAsia="en-AU"/>
        </w:rPr>
      </w:pPr>
      <w:r w:rsidRPr="00164712">
        <w:rPr>
          <w:rFonts w:cs="Arial"/>
          <w:sz w:val="20"/>
          <w:szCs w:val="20"/>
          <w:lang w:eastAsia="en-AU"/>
        </w:rPr>
        <w:t>An appointment under subclause (1</w:t>
      </w:r>
      <w:proofErr w:type="gramStart"/>
      <w:r w:rsidRPr="00164712">
        <w:rPr>
          <w:rFonts w:cs="Arial"/>
          <w:sz w:val="20"/>
          <w:szCs w:val="20"/>
          <w:lang w:eastAsia="en-AU"/>
        </w:rPr>
        <w:t>)(</w:t>
      </w:r>
      <w:proofErr w:type="gramEnd"/>
      <w:r w:rsidRPr="00164712">
        <w:rPr>
          <w:rFonts w:cs="Arial"/>
          <w:sz w:val="20"/>
          <w:szCs w:val="20"/>
          <w:lang w:eastAsia="en-AU"/>
        </w:rPr>
        <w:t>b) may be expressed to have effect only in the circumstances specified in the instrument of appointment.</w:t>
      </w:r>
    </w:p>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E77E23" w:rsidRPr="000E7E28" w:rsidRDefault="000F5D90" w:rsidP="000F5D90">
      <w:pPr>
        <w:tabs>
          <w:tab w:val="left" w:pos="5678"/>
        </w:tabs>
      </w:pPr>
      <w:r w:rsidRPr="000E7E28">
        <w:tab/>
      </w:r>
    </w:p>
    <w:sectPr w:rsidR="00E77E23" w:rsidRPr="000E7E28" w:rsidSect="004B438E">
      <w:headerReference w:type="default" r:id="rId8"/>
      <w:footerReference w:type="even" r:id="rId9"/>
      <w:footerReference w:type="default" r:id="rId10"/>
      <w:headerReference w:type="first" r:id="rId11"/>
      <w:footerReference w:type="first" r:id="rId12"/>
      <w:pgSz w:w="11900" w:h="16840"/>
      <w:pgMar w:top="1392" w:right="1247" w:bottom="992" w:left="1247" w:header="284" w:footer="685"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323" w:rsidRDefault="00D40323" w:rsidP="00FC2881">
      <w:pPr>
        <w:spacing w:after="0"/>
      </w:pPr>
      <w:r>
        <w:separator/>
      </w:r>
    </w:p>
    <w:p w:rsidR="00D40323" w:rsidRDefault="00D40323"/>
  </w:endnote>
  <w:endnote w:type="continuationSeparator" w:id="0">
    <w:p w:rsidR="00D40323" w:rsidRDefault="00D40323" w:rsidP="00FC2881">
      <w:pPr>
        <w:spacing w:after="0"/>
      </w:pPr>
      <w:r>
        <w:continuationSeparator/>
      </w:r>
    </w:p>
    <w:p w:rsidR="00D40323" w:rsidRDefault="00D40323"/>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F7" w:rsidRDefault="00D14A7E" w:rsidP="00FC2881">
    <w:pPr>
      <w:pStyle w:val="AHPRAfootnote"/>
      <w:framePr w:wrap="around" w:vAnchor="text" w:hAnchor="margin" w:xAlign="right" w:y="1"/>
    </w:pPr>
    <w:r>
      <w:fldChar w:fldCharType="begin"/>
    </w:r>
    <w:r w:rsidR="000A6BF7">
      <w:instrText xml:space="preserve">PAGE  </w:instrText>
    </w:r>
    <w:r>
      <w:fldChar w:fldCharType="end"/>
    </w:r>
  </w:p>
  <w:p w:rsidR="000A6BF7" w:rsidRDefault="000A6BF7" w:rsidP="00FC2881">
    <w:pPr>
      <w:pStyle w:val="AHPRAfootnote"/>
      <w:ind w:right="360"/>
    </w:pPr>
  </w:p>
  <w:p w:rsidR="000A6BF7" w:rsidRDefault="000A6BF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28" w:rsidRDefault="00D40323" w:rsidP="001506FE">
    <w:pPr>
      <w:pStyle w:val="AHPRAfooter"/>
      <w:rPr>
        <w:szCs w:val="16"/>
      </w:rPr>
    </w:pPr>
    <w:r w:rsidRPr="00D40323">
      <w:rPr>
        <w:szCs w:val="16"/>
      </w:rPr>
      <w:t>Attachment 4 - Relevant sections of the National Law</w:t>
    </w:r>
    <w:r>
      <w:rPr>
        <w:szCs w:val="16"/>
      </w:rPr>
      <w:t>/</w:t>
    </w:r>
    <w:r w:rsidRPr="00D40323">
      <w:rPr>
        <w:szCs w:val="16"/>
      </w:rPr>
      <w:t xml:space="preserve"> Nov 2013</w:t>
    </w:r>
  </w:p>
  <w:p w:rsidR="000A6BF7" w:rsidRPr="000E7E28" w:rsidRDefault="00D14A7E" w:rsidP="000E7E28">
    <w:pPr>
      <w:pStyle w:val="AHPRApagenumber"/>
    </w:pPr>
    <w:sdt>
      <w:sdtPr>
        <w:id w:val="16333165"/>
        <w:docPartObj>
          <w:docPartGallery w:val="Page Numbers (Top of Page)"/>
          <w:docPartUnique/>
        </w:docPartObj>
      </w:sdtPr>
      <w:sdtContent>
        <w:r w:rsidR="001506FE" w:rsidRPr="000E7E28">
          <w:t xml:space="preserve">Page </w:t>
        </w:r>
        <w:fldSimple w:instr=" PAGE ">
          <w:r w:rsidR="009127B9">
            <w:rPr>
              <w:noProof/>
            </w:rPr>
            <w:t>6</w:t>
          </w:r>
        </w:fldSimple>
        <w:r w:rsidR="00E77E23" w:rsidRPr="000E7E28">
          <w:t xml:space="preserve"> of </w:t>
        </w:r>
        <w:fldSimple w:instr=" NUMPAGES  ">
          <w:r w:rsidR="009127B9">
            <w:rPr>
              <w:noProof/>
            </w:rPr>
            <w:t>6</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23" w:rsidRPr="00E77E23" w:rsidRDefault="00E77E23"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E77E23" w:rsidRDefault="00E77E23"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323" w:rsidRDefault="00D40323" w:rsidP="000E7E28">
      <w:pPr>
        <w:spacing w:after="0"/>
      </w:pPr>
      <w:r>
        <w:separator/>
      </w:r>
    </w:p>
  </w:footnote>
  <w:footnote w:type="continuationSeparator" w:id="0">
    <w:p w:rsidR="00D40323" w:rsidRDefault="00D40323" w:rsidP="00FC2881">
      <w:pPr>
        <w:spacing w:after="0"/>
      </w:pPr>
      <w:r>
        <w:continuationSeparator/>
      </w:r>
    </w:p>
    <w:p w:rsidR="00D40323" w:rsidRDefault="00D40323"/>
  </w:footnote>
  <w:footnote w:type="continuationNotice" w:id="1">
    <w:p w:rsidR="00D40323" w:rsidRDefault="00D40323">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F7" w:rsidRPr="00315933" w:rsidRDefault="000A6BF7" w:rsidP="00D638E0">
    <w:pPr>
      <w:ind w:left="-1134" w:right="-567"/>
      <w:jc w:val="right"/>
    </w:pPr>
  </w:p>
  <w:p w:rsidR="000A6BF7" w:rsidRDefault="000A6BF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F7" w:rsidRDefault="000A6BF7" w:rsidP="00E844A0"/>
  <w:p w:rsidR="000A6BF7" w:rsidRDefault="000A6BF7" w:rsidP="00E844A0"/>
  <w:p w:rsidR="000A6BF7" w:rsidRDefault="000A6BF7" w:rsidP="00E844A0"/>
  <w:p w:rsidR="000A6BF7" w:rsidRDefault="000A6BF7" w:rsidP="00E844A0"/>
  <w:p w:rsidR="000A6BF7" w:rsidRDefault="006D6D35" w:rsidP="00E844A0">
    <w:r>
      <w:rPr>
        <w:noProof/>
        <w:lang w:val="en-US"/>
      </w:rPr>
      <w:drawing>
        <wp:anchor distT="0" distB="0" distL="114300" distR="114300" simplePos="0" relativeHeight="251659264"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0A6BF7" w:rsidRDefault="000A6BF7" w:rsidP="00E84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76A"/>
    <w:multiLevelType w:val="hybridMultilevel"/>
    <w:tmpl w:val="B1E8C9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B17D6"/>
    <w:multiLevelType w:val="multilevel"/>
    <w:tmpl w:val="C4183F12"/>
    <w:numStyleLink w:val="AHPRANumberedlist"/>
  </w:abstractNum>
  <w:abstractNum w:abstractNumId="2">
    <w:nsid w:val="096938CA"/>
    <w:multiLevelType w:val="hybridMultilevel"/>
    <w:tmpl w:val="D0A4AA0C"/>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nsid w:val="0C037DB3"/>
    <w:multiLevelType w:val="multilevel"/>
    <w:tmpl w:val="BE20683A"/>
    <w:numStyleLink w:val="AHPRANumberedheadinglist"/>
  </w:abstractNum>
  <w:abstractNum w:abstractNumId="5">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nsid w:val="0D3963EE"/>
    <w:multiLevelType w:val="hybridMultilevel"/>
    <w:tmpl w:val="0018F3C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E72E2"/>
    <w:multiLevelType w:val="hybridMultilevel"/>
    <w:tmpl w:val="293652AA"/>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D19FF"/>
    <w:multiLevelType w:val="multilevel"/>
    <w:tmpl w:val="BE20683A"/>
    <w:numStyleLink w:val="AHPRANumberedheadinglist"/>
  </w:abstractNum>
  <w:abstractNum w:abstractNumId="9">
    <w:nsid w:val="2822578D"/>
    <w:multiLevelType w:val="multilevel"/>
    <w:tmpl w:val="BE20683A"/>
    <w:numStyleLink w:val="AHPRANumberedheadinglist"/>
  </w:abstractNum>
  <w:abstractNum w:abstractNumId="10">
    <w:nsid w:val="2939237E"/>
    <w:multiLevelType w:val="hybridMultilevel"/>
    <w:tmpl w:val="B1E8C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7A5B15"/>
    <w:multiLevelType w:val="hybridMultilevel"/>
    <w:tmpl w:val="0E8C75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620DA"/>
    <w:multiLevelType w:val="hybridMultilevel"/>
    <w:tmpl w:val="1112482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73FB2"/>
    <w:multiLevelType w:val="hybridMultilevel"/>
    <w:tmpl w:val="131094E0"/>
    <w:lvl w:ilvl="0" w:tplc="32242030">
      <w:start w:val="1"/>
      <w:numFmt w:val="decimal"/>
      <w:lvlText w:val="(%1)"/>
      <w:lvlJc w:val="left"/>
      <w:pPr>
        <w:ind w:left="3726" w:hanging="360"/>
      </w:pPr>
      <w:rPr>
        <w:rFonts w:hint="default"/>
      </w:rPr>
    </w:lvl>
    <w:lvl w:ilvl="1" w:tplc="0C090019" w:tentative="1">
      <w:start w:val="1"/>
      <w:numFmt w:val="lowerLetter"/>
      <w:lvlText w:val="%2."/>
      <w:lvlJc w:val="left"/>
      <w:pPr>
        <w:ind w:left="4446" w:hanging="360"/>
      </w:pPr>
    </w:lvl>
    <w:lvl w:ilvl="2" w:tplc="0C09001B" w:tentative="1">
      <w:start w:val="1"/>
      <w:numFmt w:val="lowerRoman"/>
      <w:lvlText w:val="%3."/>
      <w:lvlJc w:val="right"/>
      <w:pPr>
        <w:ind w:left="5166" w:hanging="180"/>
      </w:pPr>
    </w:lvl>
    <w:lvl w:ilvl="3" w:tplc="0C09000F" w:tentative="1">
      <w:start w:val="1"/>
      <w:numFmt w:val="decimal"/>
      <w:lvlText w:val="%4."/>
      <w:lvlJc w:val="left"/>
      <w:pPr>
        <w:ind w:left="5886" w:hanging="360"/>
      </w:pPr>
    </w:lvl>
    <w:lvl w:ilvl="4" w:tplc="0C090019" w:tentative="1">
      <w:start w:val="1"/>
      <w:numFmt w:val="lowerLetter"/>
      <w:lvlText w:val="%5."/>
      <w:lvlJc w:val="left"/>
      <w:pPr>
        <w:ind w:left="6606" w:hanging="360"/>
      </w:pPr>
    </w:lvl>
    <w:lvl w:ilvl="5" w:tplc="0C09001B" w:tentative="1">
      <w:start w:val="1"/>
      <w:numFmt w:val="lowerRoman"/>
      <w:lvlText w:val="%6."/>
      <w:lvlJc w:val="right"/>
      <w:pPr>
        <w:ind w:left="7326" w:hanging="180"/>
      </w:pPr>
    </w:lvl>
    <w:lvl w:ilvl="6" w:tplc="0C09000F" w:tentative="1">
      <w:start w:val="1"/>
      <w:numFmt w:val="decimal"/>
      <w:lvlText w:val="%7."/>
      <w:lvlJc w:val="left"/>
      <w:pPr>
        <w:ind w:left="8046" w:hanging="360"/>
      </w:pPr>
    </w:lvl>
    <w:lvl w:ilvl="7" w:tplc="0C090019" w:tentative="1">
      <w:start w:val="1"/>
      <w:numFmt w:val="lowerLetter"/>
      <w:lvlText w:val="%8."/>
      <w:lvlJc w:val="left"/>
      <w:pPr>
        <w:ind w:left="8766" w:hanging="360"/>
      </w:pPr>
    </w:lvl>
    <w:lvl w:ilvl="8" w:tplc="0C09001B" w:tentative="1">
      <w:start w:val="1"/>
      <w:numFmt w:val="lowerRoman"/>
      <w:lvlText w:val="%9."/>
      <w:lvlJc w:val="right"/>
      <w:pPr>
        <w:ind w:left="9486" w:hanging="180"/>
      </w:pPr>
    </w:lvl>
  </w:abstractNum>
  <w:abstractNum w:abstractNumId="15">
    <w:nsid w:val="3808461A"/>
    <w:multiLevelType w:val="hybridMultilevel"/>
    <w:tmpl w:val="36DE5BEC"/>
    <w:lvl w:ilvl="0" w:tplc="04090019">
      <w:start w:val="1"/>
      <w:numFmt w:val="lowerLetter"/>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D01D66"/>
    <w:multiLevelType w:val="hybridMultilevel"/>
    <w:tmpl w:val="2DEE7A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EB0D48"/>
    <w:multiLevelType w:val="hybridMultilevel"/>
    <w:tmpl w:val="5BFEB6B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90590"/>
    <w:multiLevelType w:val="hybridMultilevel"/>
    <w:tmpl w:val="2BAE10B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D396F"/>
    <w:multiLevelType w:val="hybridMultilevel"/>
    <w:tmpl w:val="9F261A88"/>
    <w:lvl w:ilvl="0" w:tplc="DE54E0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26600E0"/>
    <w:multiLevelType w:val="hybridMultilevel"/>
    <w:tmpl w:val="A4F86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91A72"/>
    <w:multiLevelType w:val="hybridMultilevel"/>
    <w:tmpl w:val="9104D59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4433A"/>
    <w:multiLevelType w:val="multilevel"/>
    <w:tmpl w:val="C4183F12"/>
    <w:numStyleLink w:val="AHPRANumberedlist"/>
  </w:abstractNum>
  <w:abstractNum w:abstractNumId="24">
    <w:nsid w:val="53F05347"/>
    <w:multiLevelType w:val="hybridMultilevel"/>
    <w:tmpl w:val="1F5448E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5A2D2BDE"/>
    <w:multiLevelType w:val="hybridMultilevel"/>
    <w:tmpl w:val="58B6D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A000D"/>
    <w:multiLevelType w:val="hybridMultilevel"/>
    <w:tmpl w:val="527A89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37C67F2"/>
    <w:multiLevelType w:val="hybridMultilevel"/>
    <w:tmpl w:val="105284E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64364559"/>
    <w:multiLevelType w:val="hybridMultilevel"/>
    <w:tmpl w:val="5C4EAE5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A923530"/>
    <w:multiLevelType w:val="hybridMultilevel"/>
    <w:tmpl w:val="293652AA"/>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A1784E"/>
    <w:multiLevelType w:val="hybridMultilevel"/>
    <w:tmpl w:val="293652AA"/>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29D4F52"/>
    <w:multiLevelType w:val="hybridMultilevel"/>
    <w:tmpl w:val="293652AA"/>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DD2543"/>
    <w:multiLevelType w:val="hybridMultilevel"/>
    <w:tmpl w:val="202C7C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7C2B31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E154B0"/>
    <w:multiLevelType w:val="multilevel"/>
    <w:tmpl w:val="C4183F12"/>
    <w:numStyleLink w:val="AHPRANumberedlist"/>
  </w:abstractNum>
  <w:abstractNum w:abstractNumId="35">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731660"/>
    <w:multiLevelType w:val="multilevel"/>
    <w:tmpl w:val="C4183F12"/>
    <w:numStyleLink w:val="AHPRANumberedlist"/>
  </w:abstractNum>
  <w:abstractNum w:abstractNumId="37">
    <w:nsid w:val="7D587F3A"/>
    <w:multiLevelType w:val="hybridMultilevel"/>
    <w:tmpl w:val="7C121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6476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3"/>
  </w:num>
  <w:num w:numId="4">
    <w:abstractNumId w:val="5"/>
  </w:num>
  <w:num w:numId="5">
    <w:abstractNumId w:val="8"/>
  </w:num>
  <w:num w:numId="6">
    <w:abstractNumId w:val="9"/>
  </w:num>
  <w:num w:numId="7">
    <w:abstractNumId w:val="1"/>
  </w:num>
  <w:num w:numId="8">
    <w:abstractNumId w:val="12"/>
  </w:num>
  <w:num w:numId="9">
    <w:abstractNumId w:val="35"/>
  </w:num>
  <w:num w:numId="10">
    <w:abstractNumId w:val="23"/>
  </w:num>
  <w:num w:numId="11">
    <w:abstractNumId w:val="4"/>
  </w:num>
  <w:num w:numId="12">
    <w:abstractNumId w:val="34"/>
  </w:num>
  <w:num w:numId="13">
    <w:abstractNumId w:val="36"/>
  </w:num>
  <w:num w:numId="14">
    <w:abstractNumId w:val="14"/>
  </w:num>
  <w:num w:numId="15">
    <w:abstractNumId w:val="37"/>
  </w:num>
  <w:num w:numId="16">
    <w:abstractNumId w:val="25"/>
  </w:num>
  <w:num w:numId="17">
    <w:abstractNumId w:val="20"/>
  </w:num>
  <w:num w:numId="18">
    <w:abstractNumId w:val="27"/>
  </w:num>
  <w:num w:numId="19">
    <w:abstractNumId w:val="29"/>
  </w:num>
  <w:num w:numId="20">
    <w:abstractNumId w:val="33"/>
  </w:num>
  <w:num w:numId="21">
    <w:abstractNumId w:val="16"/>
  </w:num>
  <w:num w:numId="22">
    <w:abstractNumId w:val="24"/>
  </w:num>
  <w:num w:numId="23">
    <w:abstractNumId w:val="19"/>
  </w:num>
  <w:num w:numId="24">
    <w:abstractNumId w:val="26"/>
  </w:num>
  <w:num w:numId="25">
    <w:abstractNumId w:val="32"/>
  </w:num>
  <w:num w:numId="26">
    <w:abstractNumId w:val="17"/>
  </w:num>
  <w:num w:numId="27">
    <w:abstractNumId w:val="11"/>
  </w:num>
  <w:num w:numId="28">
    <w:abstractNumId w:val="30"/>
  </w:num>
  <w:num w:numId="29">
    <w:abstractNumId w:val="21"/>
  </w:num>
  <w:num w:numId="30">
    <w:abstractNumId w:val="13"/>
  </w:num>
  <w:num w:numId="31">
    <w:abstractNumId w:val="6"/>
  </w:num>
  <w:num w:numId="32">
    <w:abstractNumId w:val="18"/>
  </w:num>
  <w:num w:numId="33">
    <w:abstractNumId w:val="15"/>
  </w:num>
  <w:num w:numId="34">
    <w:abstractNumId w:val="10"/>
  </w:num>
  <w:num w:numId="35">
    <w:abstractNumId w:val="7"/>
  </w:num>
  <w:num w:numId="36">
    <w:abstractNumId w:val="0"/>
  </w:num>
  <w:num w:numId="37">
    <w:abstractNumId w:val="28"/>
  </w:num>
  <w:num w:numId="38">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7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 w:id="1"/>
  </w:footnotePr>
  <w:endnotePr>
    <w:endnote w:id="-1"/>
    <w:endnote w:id="0"/>
  </w:endnotePr>
  <w:compat/>
  <w:rsids>
    <w:rsidRoot w:val="00D33982"/>
    <w:rsid w:val="00000033"/>
    <w:rsid w:val="00006922"/>
    <w:rsid w:val="000334D7"/>
    <w:rsid w:val="00071439"/>
    <w:rsid w:val="000945FB"/>
    <w:rsid w:val="000A6BF7"/>
    <w:rsid w:val="000E7E28"/>
    <w:rsid w:val="000F5D90"/>
    <w:rsid w:val="0010139F"/>
    <w:rsid w:val="00144DEF"/>
    <w:rsid w:val="001506FE"/>
    <w:rsid w:val="00196F14"/>
    <w:rsid w:val="001C425C"/>
    <w:rsid w:val="001E1E31"/>
    <w:rsid w:val="001E2849"/>
    <w:rsid w:val="001E4A94"/>
    <w:rsid w:val="001E5621"/>
    <w:rsid w:val="00220A3B"/>
    <w:rsid w:val="00224708"/>
    <w:rsid w:val="0028013F"/>
    <w:rsid w:val="00295B44"/>
    <w:rsid w:val="002B2D48"/>
    <w:rsid w:val="002B436A"/>
    <w:rsid w:val="002C08FB"/>
    <w:rsid w:val="002C34EA"/>
    <w:rsid w:val="00303BE1"/>
    <w:rsid w:val="00305AFC"/>
    <w:rsid w:val="003354E4"/>
    <w:rsid w:val="00393516"/>
    <w:rsid w:val="003D6DBD"/>
    <w:rsid w:val="003E00B5"/>
    <w:rsid w:val="003E3268"/>
    <w:rsid w:val="003F2F06"/>
    <w:rsid w:val="00405C0A"/>
    <w:rsid w:val="00414F2C"/>
    <w:rsid w:val="00450B34"/>
    <w:rsid w:val="004606A7"/>
    <w:rsid w:val="004A5E5D"/>
    <w:rsid w:val="004B438E"/>
    <w:rsid w:val="004B747B"/>
    <w:rsid w:val="004D7537"/>
    <w:rsid w:val="004F5C05"/>
    <w:rsid w:val="00516EF2"/>
    <w:rsid w:val="0053749F"/>
    <w:rsid w:val="00546B56"/>
    <w:rsid w:val="00553A4C"/>
    <w:rsid w:val="00554335"/>
    <w:rsid w:val="005565CE"/>
    <w:rsid w:val="005708AE"/>
    <w:rsid w:val="005A0FA9"/>
    <w:rsid w:val="005C5932"/>
    <w:rsid w:val="005C6817"/>
    <w:rsid w:val="00616043"/>
    <w:rsid w:val="00640B2C"/>
    <w:rsid w:val="00667CAD"/>
    <w:rsid w:val="00670F48"/>
    <w:rsid w:val="00672A98"/>
    <w:rsid w:val="00681D5E"/>
    <w:rsid w:val="006C0257"/>
    <w:rsid w:val="006C0E29"/>
    <w:rsid w:val="006D30FE"/>
    <w:rsid w:val="006D3757"/>
    <w:rsid w:val="006D45FD"/>
    <w:rsid w:val="006D6D35"/>
    <w:rsid w:val="006F585B"/>
    <w:rsid w:val="006F7348"/>
    <w:rsid w:val="006F796D"/>
    <w:rsid w:val="0070155F"/>
    <w:rsid w:val="00712EFA"/>
    <w:rsid w:val="007372A4"/>
    <w:rsid w:val="00741B04"/>
    <w:rsid w:val="0076115C"/>
    <w:rsid w:val="007664F3"/>
    <w:rsid w:val="0079197C"/>
    <w:rsid w:val="007A35B9"/>
    <w:rsid w:val="007B77D6"/>
    <w:rsid w:val="007C0B6E"/>
    <w:rsid w:val="007D4836"/>
    <w:rsid w:val="007E2C84"/>
    <w:rsid w:val="007E3545"/>
    <w:rsid w:val="007F0095"/>
    <w:rsid w:val="008338F7"/>
    <w:rsid w:val="00836397"/>
    <w:rsid w:val="00845054"/>
    <w:rsid w:val="00852D1C"/>
    <w:rsid w:val="00856147"/>
    <w:rsid w:val="00860F40"/>
    <w:rsid w:val="008615C9"/>
    <w:rsid w:val="00864020"/>
    <w:rsid w:val="008979D5"/>
    <w:rsid w:val="008A4C3B"/>
    <w:rsid w:val="008B2AD7"/>
    <w:rsid w:val="008D6B7E"/>
    <w:rsid w:val="008D7845"/>
    <w:rsid w:val="009031EA"/>
    <w:rsid w:val="009127B9"/>
    <w:rsid w:val="00923B23"/>
    <w:rsid w:val="00937ED0"/>
    <w:rsid w:val="00952797"/>
    <w:rsid w:val="009777D3"/>
    <w:rsid w:val="009859E6"/>
    <w:rsid w:val="009A0A5D"/>
    <w:rsid w:val="009C6933"/>
    <w:rsid w:val="00A04C7A"/>
    <w:rsid w:val="00A058E5"/>
    <w:rsid w:val="00A10C1A"/>
    <w:rsid w:val="00A2072E"/>
    <w:rsid w:val="00A237BB"/>
    <w:rsid w:val="00A458ED"/>
    <w:rsid w:val="00A509AB"/>
    <w:rsid w:val="00A82078"/>
    <w:rsid w:val="00A838C8"/>
    <w:rsid w:val="00A91C42"/>
    <w:rsid w:val="00A9516B"/>
    <w:rsid w:val="00A9780A"/>
    <w:rsid w:val="00AA00AF"/>
    <w:rsid w:val="00AA2FC9"/>
    <w:rsid w:val="00AB283D"/>
    <w:rsid w:val="00AD312E"/>
    <w:rsid w:val="00AE3EAF"/>
    <w:rsid w:val="00B024B0"/>
    <w:rsid w:val="00B34EDA"/>
    <w:rsid w:val="00B51748"/>
    <w:rsid w:val="00B57198"/>
    <w:rsid w:val="00B85023"/>
    <w:rsid w:val="00BA2456"/>
    <w:rsid w:val="00BA469B"/>
    <w:rsid w:val="00BB4A5B"/>
    <w:rsid w:val="00BF2534"/>
    <w:rsid w:val="00BF79DC"/>
    <w:rsid w:val="00C35DE1"/>
    <w:rsid w:val="00C3795C"/>
    <w:rsid w:val="00C524AA"/>
    <w:rsid w:val="00C54689"/>
    <w:rsid w:val="00C81B3A"/>
    <w:rsid w:val="00CB6C08"/>
    <w:rsid w:val="00CD0DCA"/>
    <w:rsid w:val="00D12F61"/>
    <w:rsid w:val="00D14A7E"/>
    <w:rsid w:val="00D201C6"/>
    <w:rsid w:val="00D33982"/>
    <w:rsid w:val="00D40323"/>
    <w:rsid w:val="00D638E0"/>
    <w:rsid w:val="00D716BA"/>
    <w:rsid w:val="00D8404D"/>
    <w:rsid w:val="00D87C12"/>
    <w:rsid w:val="00DC2952"/>
    <w:rsid w:val="00DF1AB7"/>
    <w:rsid w:val="00DF3C46"/>
    <w:rsid w:val="00E07C02"/>
    <w:rsid w:val="00E12B06"/>
    <w:rsid w:val="00E15BF6"/>
    <w:rsid w:val="00E54005"/>
    <w:rsid w:val="00E71CB9"/>
    <w:rsid w:val="00E73698"/>
    <w:rsid w:val="00E77E23"/>
    <w:rsid w:val="00E8251C"/>
    <w:rsid w:val="00E844A0"/>
    <w:rsid w:val="00F13ED2"/>
    <w:rsid w:val="00F27ACB"/>
    <w:rsid w:val="00F3616F"/>
    <w:rsid w:val="00F6618F"/>
    <w:rsid w:val="00F70DD5"/>
    <w:rsid w:val="00F73165"/>
    <w:rsid w:val="00F90BCE"/>
    <w:rsid w:val="00FC2881"/>
    <w:rsid w:val="00FD7DC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1" w:unhideWhenUsed="1"/>
    <w:lsdException w:name="header" w:uiPriority="99"/>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uiPriority="99"/>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iPriority="34" w:unhideWhenUsed="1" w:qFormat="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9"/>
    <w:unhideWhenUsed/>
    <w:qFormat/>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b/>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i/>
    </w:rPr>
  </w:style>
  <w:style w:type="character" w:customStyle="1" w:styleId="AHPRAbodyunderlineChar">
    <w:name w:val="AHPRA body underline Char"/>
    <w:basedOn w:val="AHPRAbodyitalicsChar"/>
    <w:link w:val="AHPRAbodyunderline"/>
    <w:rsid w:val="000E7E28"/>
    <w:rPr>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ListParagraph">
    <w:name w:val="List Paragraph"/>
    <w:basedOn w:val="Normal"/>
    <w:uiPriority w:val="34"/>
    <w:qFormat/>
    <w:rsid w:val="00D40323"/>
    <w:pPr>
      <w:spacing w:line="276" w:lineRule="auto"/>
      <w:ind w:left="720"/>
      <w:contextualSpacing/>
    </w:pPr>
    <w:rPr>
      <w:rFonts w:ascii="Calibri" w:eastAsia="Times New Roman"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arkas\AppData\Local\Microsoft\Windows\Temporary%20Internet%20Files\Content.IE5\X3Q8V2A4\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7C759-F5C4-465A-8CE5-B2122C00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1</TotalTime>
  <Pages>6</Pages>
  <Words>2211</Words>
  <Characters>10346</Characters>
  <Application>Microsoft Office Word</Application>
  <DocSecurity>4</DocSecurity>
  <Lines>86</Lines>
  <Paragraphs>25</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12532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Relevant sections of the National Law relating to board members</dc:title>
  <dc:subject>National Law</dc:subject>
  <dc:creator>AHPRA</dc:creator>
  <cp:lastModifiedBy>gmeade</cp:lastModifiedBy>
  <cp:revision>2</cp:revision>
  <cp:lastPrinted>2012-02-10T00:45:00Z</cp:lastPrinted>
  <dcterms:created xsi:type="dcterms:W3CDTF">2013-11-28T01:40:00Z</dcterms:created>
  <dcterms:modified xsi:type="dcterms:W3CDTF">2013-11-28T01:40:00Z</dcterms:modified>
</cp:coreProperties>
</file>