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E68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r w:rsidRPr="008D70F1">
        <w:t xml:space="preserve">Local decisions </w:t>
      </w:r>
      <w:r w:rsidR="00B558B9">
        <w:t xml:space="preserve">in a National Scheme </w:t>
      </w:r>
      <w:r w:rsidRPr="008D70F1">
        <w:t xml:space="preserve">– Regulating health practitioners in </w:t>
      </w:r>
      <w:r w:rsidR="00466CEB">
        <w:t>Victoria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</w:t>
      </w:r>
      <w:r w:rsidR="00A363F5">
        <w:rPr>
          <w:rFonts w:ascii="Arial" w:hAnsi="Arial" w:cs="Arial"/>
          <w:szCs w:val="20"/>
        </w:rPr>
        <w:t xml:space="preserve">in </w:t>
      </w:r>
      <w:r w:rsidR="00466CEB">
        <w:rPr>
          <w:rFonts w:ascii="Arial" w:hAnsi="Arial" w:cs="Arial"/>
          <w:szCs w:val="20"/>
        </w:rPr>
        <w:t>Victoria (Vic)</w:t>
      </w:r>
      <w:r w:rsidR="00F727BA">
        <w:rPr>
          <w:rFonts w:ascii="Arial" w:hAnsi="Arial" w:cs="Arial"/>
          <w:szCs w:val="20"/>
        </w:rPr>
        <w:t xml:space="preserve"> </w:t>
      </w:r>
      <w:r w:rsidRPr="00B558B9">
        <w:rPr>
          <w:rFonts w:ascii="Arial" w:hAnsi="Arial" w:cs="Arial"/>
          <w:szCs w:val="20"/>
        </w:rPr>
        <w:t xml:space="preserve">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regulation in </w:t>
      </w:r>
      <w:r w:rsidR="00466CEB">
        <w:rPr>
          <w:rFonts w:ascii="Arial" w:hAnsi="Arial" w:cs="Arial"/>
          <w:szCs w:val="20"/>
        </w:rPr>
        <w:t xml:space="preserve">Vic </w:t>
      </w:r>
      <w:r w:rsidR="008D70F1" w:rsidRPr="00B558B9">
        <w:rPr>
          <w:rFonts w:ascii="Arial" w:hAnsi="Arial" w:cs="Arial"/>
          <w:szCs w:val="20"/>
        </w:rPr>
        <w:t xml:space="preserve">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There are now </w:t>
      </w:r>
      <w:r w:rsidR="00466CEB">
        <w:rPr>
          <w:rFonts w:ascii="Arial" w:eastAsia="Calibri" w:hAnsi="Arial" w:cs="Arial"/>
          <w:sz w:val="20"/>
          <w:szCs w:val="20"/>
          <w:lang w:eastAsia="en-AU"/>
        </w:rPr>
        <w:t>169,478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registered health practitioners in </w:t>
      </w:r>
      <w:r w:rsidR="00466CEB">
        <w:rPr>
          <w:rFonts w:ascii="Arial" w:eastAsia="Calibri" w:hAnsi="Arial" w:cs="Arial"/>
          <w:sz w:val="20"/>
          <w:szCs w:val="20"/>
          <w:lang w:eastAsia="en-AU"/>
        </w:rPr>
        <w:t>Vic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, compared with </w:t>
      </w:r>
      <w:r w:rsidR="00466CEB">
        <w:rPr>
          <w:rFonts w:ascii="Arial" w:eastAsia="Calibri" w:hAnsi="Arial" w:cs="Arial"/>
          <w:sz w:val="20"/>
          <w:szCs w:val="20"/>
          <w:lang w:eastAsia="en-AU"/>
        </w:rPr>
        <w:t>164,324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in the previous year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</w:t>
      </w:r>
      <w:r w:rsidR="00466CEB">
        <w:rPr>
          <w:rFonts w:ascii="Arial" w:hAnsi="Arial" w:cs="Arial"/>
          <w:sz w:val="20"/>
          <w:szCs w:val="20"/>
        </w:rPr>
        <w:t>Vic</w:t>
      </w:r>
      <w:r w:rsidR="00B558B9" w:rsidRPr="00B558B9">
        <w:rPr>
          <w:rFonts w:ascii="Arial" w:hAnsi="Arial" w:cs="Arial"/>
          <w:sz w:val="20"/>
          <w:szCs w:val="20"/>
        </w:rPr>
        <w:t xml:space="preserve">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</w:t>
      </w:r>
      <w:r w:rsidR="00466CEB">
        <w:rPr>
          <w:rFonts w:ascii="Arial" w:hAnsi="Arial" w:cs="Arial"/>
          <w:sz w:val="20"/>
          <w:szCs w:val="20"/>
        </w:rPr>
        <w:t>Vic</w:t>
      </w:r>
      <w:r w:rsidRPr="00B558B9">
        <w:rPr>
          <w:rFonts w:ascii="Arial" w:hAnsi="Arial" w:cs="Arial"/>
          <w:sz w:val="20"/>
          <w:szCs w:val="20"/>
        </w:rPr>
        <w:t xml:space="preserve">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="00466CEB">
        <w:rPr>
          <w:rFonts w:ascii="Arial" w:eastAsia="Calibri" w:hAnsi="Arial" w:cs="Arial"/>
          <w:sz w:val="20"/>
          <w:szCs w:val="20"/>
          <w:lang w:eastAsia="en-AU"/>
        </w:rPr>
        <w:t>Vic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>lens on the regu</w:t>
      </w:r>
      <w:bookmarkStart w:id="0" w:name="_GoBack"/>
      <w:bookmarkEnd w:id="0"/>
      <w:r w:rsidRPr="00B558B9">
        <w:rPr>
          <w:rFonts w:ascii="Arial" w:eastAsia="Calibri" w:hAnsi="Arial" w:cs="Arial"/>
          <w:sz w:val="20"/>
          <w:szCs w:val="20"/>
          <w:lang w:eastAsia="en-AU"/>
        </w:rPr>
        <w:t>lation of health practitioners in Australia,’ said AHPR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</w:t>
      </w:r>
      <w:r w:rsidR="00466CEB">
        <w:rPr>
          <w:rFonts w:ascii="Arial" w:eastAsia="Calibri" w:hAnsi="Arial" w:cs="Arial"/>
          <w:sz w:val="20"/>
          <w:szCs w:val="20"/>
          <w:lang w:eastAsia="en-AU"/>
        </w:rPr>
        <w:t>Melbourne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 and the important work of health practitioner boards in </w:t>
      </w:r>
      <w:r w:rsidR="00466CEB">
        <w:rPr>
          <w:rFonts w:ascii="Arial" w:eastAsia="Calibri" w:hAnsi="Arial" w:cs="Arial"/>
          <w:sz w:val="20"/>
          <w:szCs w:val="20"/>
          <w:lang w:eastAsia="en-AU"/>
        </w:rPr>
        <w:t>Vic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. </w:t>
      </w:r>
    </w:p>
    <w:p w:rsidR="00B558B9" w:rsidRPr="00B558B9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>e benefits of being part of a national regis</w:t>
      </w:r>
      <w:r>
        <w:rPr>
          <w:rFonts w:ascii="Arial" w:hAnsi="Arial" w:cs="Arial"/>
          <w:sz w:val="20"/>
          <w:szCs w:val="20"/>
        </w:rPr>
        <w:t>t</w:t>
      </w:r>
      <w:r w:rsidR="00671B36">
        <w:rPr>
          <w:rFonts w:ascii="Arial" w:hAnsi="Arial" w:cs="Arial"/>
          <w:sz w:val="20"/>
          <w:szCs w:val="20"/>
        </w:rPr>
        <w:t>ration scheme.’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466CEB" w:rsidRPr="00466CEB" w:rsidRDefault="00466CEB" w:rsidP="00466CEB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66CEB">
        <w:rPr>
          <w:rFonts w:ascii="Arial" w:eastAsiaTheme="minorHAnsi" w:hAnsi="Arial" w:cs="Arial"/>
          <w:sz w:val="20"/>
          <w:szCs w:val="20"/>
          <w:lang w:eastAsia="en-AU"/>
        </w:rPr>
        <w:t>there are now 169,478 registered health practitioners in Vic, compared with 164,324 in the previous year</w:t>
      </w:r>
    </w:p>
    <w:p w:rsidR="00466CEB" w:rsidRPr="00466CEB" w:rsidRDefault="00466CEB" w:rsidP="00466CEB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66CEB">
        <w:rPr>
          <w:rFonts w:ascii="Arial" w:eastAsiaTheme="minorHAnsi" w:hAnsi="Arial" w:cs="Arial"/>
          <w:sz w:val="20"/>
          <w:szCs w:val="20"/>
          <w:lang w:eastAsia="en-AU"/>
        </w:rPr>
        <w:t>Vic practitioners accounted for 25.8% of all registered health practitioners in Australia</w:t>
      </w:r>
    </w:p>
    <w:p w:rsidR="00466CEB" w:rsidRPr="00466CEB" w:rsidRDefault="00466CEB" w:rsidP="00466CEB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66CEB">
        <w:rPr>
          <w:rFonts w:ascii="Arial" w:eastAsiaTheme="minorHAnsi" w:hAnsi="Arial" w:cs="Arial"/>
          <w:sz w:val="20"/>
          <w:szCs w:val="20"/>
          <w:lang w:eastAsia="en-AU"/>
        </w:rPr>
        <w:t>there was a 0.15% decrease in notifications in Vic compared to a 19.7% national increase</w:t>
      </w:r>
    </w:p>
    <w:p w:rsidR="00466CEB" w:rsidRPr="00466CEB" w:rsidRDefault="00466CEB" w:rsidP="00466CEB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66CEB">
        <w:rPr>
          <w:rFonts w:ascii="Arial" w:eastAsiaTheme="minorHAnsi" w:hAnsi="Arial" w:cs="Arial"/>
          <w:sz w:val="20"/>
          <w:szCs w:val="20"/>
          <w:lang w:eastAsia="en-AU"/>
        </w:rPr>
        <w:t>there were 89 notifications closed after a panel hearing and 26 tribunal decisions finalised during the year</w:t>
      </w:r>
    </w:p>
    <w:p w:rsidR="00466CEB" w:rsidRPr="00466CEB" w:rsidRDefault="00466CEB" w:rsidP="00466CEB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66CEB">
        <w:rPr>
          <w:rFonts w:ascii="Arial" w:eastAsiaTheme="minorHAnsi" w:hAnsi="Arial" w:cs="Arial"/>
          <w:sz w:val="20"/>
          <w:szCs w:val="20"/>
          <w:lang w:eastAsia="en-AU"/>
        </w:rPr>
        <w:t>Vic boards and committees took ‘immediate action’ 141 times as an interim step to manage risk to public safety during the year, leading to a restriction on registration in 112 cases, and</w:t>
      </w:r>
    </w:p>
    <w:p w:rsidR="00466CEB" w:rsidRPr="00466CEB" w:rsidRDefault="00466CEB" w:rsidP="00466CEB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66CEB">
        <w:rPr>
          <w:rFonts w:ascii="Arial" w:eastAsiaTheme="minorHAnsi" w:hAnsi="Arial" w:cs="Arial"/>
          <w:sz w:val="20"/>
          <w:szCs w:val="20"/>
          <w:lang w:eastAsia="en-AU"/>
        </w:rPr>
        <w:t>there were 1,032 cases under active compliance monitoring in Vic as at 30 June 2016, accounting for 18.6% of all cases nationally.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A363F5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3269ED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39C7"/>
    <w:rsid w:val="001C265E"/>
    <w:rsid w:val="001E0375"/>
    <w:rsid w:val="001E6874"/>
    <w:rsid w:val="001F26B4"/>
    <w:rsid w:val="001F7178"/>
    <w:rsid w:val="0021254B"/>
    <w:rsid w:val="00237B04"/>
    <w:rsid w:val="0025708F"/>
    <w:rsid w:val="00262FDE"/>
    <w:rsid w:val="0026791E"/>
    <w:rsid w:val="00297940"/>
    <w:rsid w:val="002B41A7"/>
    <w:rsid w:val="002E09CB"/>
    <w:rsid w:val="002E378F"/>
    <w:rsid w:val="003079DE"/>
    <w:rsid w:val="00322EE8"/>
    <w:rsid w:val="003265E1"/>
    <w:rsid w:val="003269ED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745C"/>
    <w:rsid w:val="0043256E"/>
    <w:rsid w:val="00436C98"/>
    <w:rsid w:val="00445610"/>
    <w:rsid w:val="00466CEB"/>
    <w:rsid w:val="004A40BB"/>
    <w:rsid w:val="004A5AFA"/>
    <w:rsid w:val="004B7191"/>
    <w:rsid w:val="004E2656"/>
    <w:rsid w:val="004F4CC4"/>
    <w:rsid w:val="005214A0"/>
    <w:rsid w:val="00525F89"/>
    <w:rsid w:val="00553007"/>
    <w:rsid w:val="00555BD9"/>
    <w:rsid w:val="005752D2"/>
    <w:rsid w:val="00583EFF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40172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4B93"/>
    <w:rsid w:val="009F1E9B"/>
    <w:rsid w:val="00A216EB"/>
    <w:rsid w:val="00A363F5"/>
    <w:rsid w:val="00A623BD"/>
    <w:rsid w:val="00A62A5E"/>
    <w:rsid w:val="00AA65FB"/>
    <w:rsid w:val="00AF209D"/>
    <w:rsid w:val="00B1452F"/>
    <w:rsid w:val="00B32E87"/>
    <w:rsid w:val="00B558B9"/>
    <w:rsid w:val="00B559ED"/>
    <w:rsid w:val="00BE3564"/>
    <w:rsid w:val="00C415F0"/>
    <w:rsid w:val="00C531A6"/>
    <w:rsid w:val="00C727CF"/>
    <w:rsid w:val="00C90C3A"/>
    <w:rsid w:val="00D57C3B"/>
    <w:rsid w:val="00D673C2"/>
    <w:rsid w:val="00D76096"/>
    <w:rsid w:val="00D80D59"/>
    <w:rsid w:val="00D82758"/>
    <w:rsid w:val="00D87E98"/>
    <w:rsid w:val="00D909E0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727BA"/>
    <w:rsid w:val="00F872C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CD66F0F-431C-4670-A3E4-25D36BB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E0DB-F009-4963-AC65-40AA5415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2390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Victoria</dc:title>
  <dc:subject>Media release</dc:subject>
  <dc:creator>AHPRA</dc:creator>
  <dc:description/>
  <cp:lastModifiedBy>Gareth Meade</cp:lastModifiedBy>
  <cp:revision>2</cp:revision>
  <cp:lastPrinted>2010-10-17T23:49:00Z</cp:lastPrinted>
  <dcterms:created xsi:type="dcterms:W3CDTF">2017-01-15T23:53:00Z</dcterms:created>
  <dcterms:modified xsi:type="dcterms:W3CDTF">2017-01-15T23:53:00Z</dcterms:modified>
</cp:coreProperties>
</file>